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322" w:rsidRPr="005D3F2D" w:rsidRDefault="00B72322" w:rsidP="000E7C2C">
      <w:pPr>
        <w:spacing w:before="240" w:after="240" w:line="360" w:lineRule="auto"/>
        <w:jc w:val="both"/>
        <w:rPr>
          <w:rFonts w:ascii="Palatino Linotype" w:hAnsi="Palatino Linotype"/>
          <w:b/>
        </w:rPr>
      </w:pPr>
      <w:r w:rsidRPr="005D3F2D">
        <w:rPr>
          <w:b/>
          <w:noProof/>
          <w:lang w:eastAsia="es-MX"/>
        </w:rPr>
        <mc:AlternateContent>
          <mc:Choice Requires="wps">
            <w:drawing>
              <wp:anchor distT="0" distB="0" distL="114300" distR="114300" simplePos="0" relativeHeight="251659264" behindDoc="1" locked="0" layoutInCell="0" allowOverlap="1" wp14:anchorId="574A9ECD" wp14:editId="64BB0067">
                <wp:simplePos x="0" y="0"/>
                <wp:positionH relativeFrom="margin">
                  <wp:align>center</wp:align>
                </wp:positionH>
                <wp:positionV relativeFrom="margin">
                  <wp:posOffset>3325692</wp:posOffset>
                </wp:positionV>
                <wp:extent cx="7092315" cy="81788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74A9ECD" id="_x0000_t202" coordsize="21600,21600" o:spt="202" path="m,l,21600r21600,l21600,xe">
                <v:stroke joinstyle="miter"/>
                <v:path gradientshapeok="t" o:connecttype="rect"/>
              </v:shapetype>
              <v:shape id="Cuadro de texto 1" o:spid="_x0000_s1026" type="#_x0000_t202" style="position:absolute;left:0;text-align:left;margin-left:0;margin-top:261.85pt;width:558.45pt;height:64.4pt;rotation:-45;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" o:allowincell="f" filled="f" stroked="f">
                <v:stroke joinstyle="round"/>
                <o:lock v:ext="edit" shapetype="t"/>
                <v:textbox style="mso-fit-shape-to-text:t">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v:textbox>
                <w10:wrap anchorx="margin" anchory="margin"/>
              </v:shape>
            </w:pict>
          </mc:Fallback>
        </mc:AlternateContent>
      </w:r>
      <w:r w:rsidR="005C2F76" w:rsidRPr="005D3F2D">
        <w:rPr>
          <w:rFonts w:ascii="Palatino Linotype" w:hAnsi="Palatino Linotype"/>
          <w:b/>
        </w:rPr>
        <w:t xml:space="preserve">VOTO PARTICULAR </w:t>
      </w:r>
      <w:r w:rsidR="00551987" w:rsidRPr="005D3F2D">
        <w:rPr>
          <w:rFonts w:ascii="Palatino Linotype" w:hAnsi="Palatino Linotype"/>
          <w:b/>
        </w:rPr>
        <w:t>QUE</w:t>
      </w:r>
      <w:r w:rsidR="003E5641" w:rsidRPr="005D3F2D">
        <w:rPr>
          <w:rFonts w:ascii="Palatino Linotype" w:hAnsi="Palatino Linotype"/>
          <w:b/>
        </w:rPr>
        <w:t xml:space="preserve"> FORMULA</w:t>
      </w:r>
      <w:r w:rsidR="00551987" w:rsidRPr="005D3F2D">
        <w:rPr>
          <w:rFonts w:ascii="Palatino Linotype" w:hAnsi="Palatino Linotype"/>
          <w:b/>
        </w:rPr>
        <w:t xml:space="preserve"> </w:t>
      </w:r>
      <w:r w:rsidR="003E5641" w:rsidRPr="005D3F2D">
        <w:rPr>
          <w:rFonts w:ascii="Palatino Linotype" w:hAnsi="Palatino Linotype"/>
          <w:b/>
        </w:rPr>
        <w:t>EL COMISIONADO JAVIER MARTÍNEZ CRUZ</w:t>
      </w:r>
      <w:r w:rsidR="00551987" w:rsidRPr="005D3F2D">
        <w:rPr>
          <w:rFonts w:ascii="Palatino Linotype" w:hAnsi="Palatino Linotype"/>
          <w:b/>
        </w:rPr>
        <w:t xml:space="preserve">, EN RELACIÓN CON LA RESOLUCIÓN DICTADA POR EL PLENO DEL INSTITUTO DE TRANSPARENCIA, ACCESO A LA INFORMACIÓN PÚBLICA Y PROTECCIÓN DE DATOS PERSONALES DEL ESTADO DE MÉXICO Y MUNICIPIOS, EN LA </w:t>
      </w:r>
      <w:r w:rsidR="00837230" w:rsidRPr="005D3F2D">
        <w:rPr>
          <w:rFonts w:ascii="Palatino Linotype" w:hAnsi="Palatino Linotype"/>
          <w:b/>
        </w:rPr>
        <w:t xml:space="preserve">CUADRAGÉSIMA SEGUNDA </w:t>
      </w:r>
      <w:r w:rsidR="0022313A" w:rsidRPr="005D3F2D">
        <w:rPr>
          <w:rFonts w:ascii="Palatino Linotype" w:hAnsi="Palatino Linotype"/>
          <w:b/>
        </w:rPr>
        <w:t>S</w:t>
      </w:r>
      <w:r w:rsidR="00551987" w:rsidRPr="005D3F2D">
        <w:rPr>
          <w:rFonts w:ascii="Palatino Linotype" w:hAnsi="Palatino Linotype"/>
          <w:b/>
        </w:rPr>
        <w:t>ES</w:t>
      </w:r>
      <w:r w:rsidR="00952FDA" w:rsidRPr="005D3F2D">
        <w:rPr>
          <w:rFonts w:ascii="Palatino Linotype" w:hAnsi="Palatino Linotype"/>
          <w:b/>
        </w:rPr>
        <w:t xml:space="preserve">IÓN ORDINARIA DEL </w:t>
      </w:r>
      <w:r w:rsidR="00F935BE" w:rsidRPr="005D3F2D">
        <w:rPr>
          <w:rFonts w:ascii="Palatino Linotype" w:hAnsi="Palatino Linotype"/>
          <w:b/>
        </w:rPr>
        <w:softHyphen/>
      </w:r>
      <w:r w:rsidR="00837230" w:rsidRPr="005D3F2D">
        <w:rPr>
          <w:rFonts w:ascii="Palatino Linotype" w:hAnsi="Palatino Linotype"/>
          <w:b/>
        </w:rPr>
        <w:t xml:space="preserve">CATORCE </w:t>
      </w:r>
      <w:r w:rsidR="00F935BE" w:rsidRPr="005D3F2D">
        <w:rPr>
          <w:rFonts w:ascii="Palatino Linotype" w:hAnsi="Palatino Linotype"/>
          <w:b/>
        </w:rPr>
        <w:t xml:space="preserve">DE NOVIEMBRE </w:t>
      </w:r>
      <w:r w:rsidR="00551987" w:rsidRPr="005D3F2D">
        <w:rPr>
          <w:rFonts w:ascii="Palatino Linotype" w:hAnsi="Palatino Linotype"/>
          <w:b/>
        </w:rPr>
        <w:t>DE DOS MIL DIECIOCHO, EN</w:t>
      </w:r>
      <w:r w:rsidR="00AA742A" w:rsidRPr="005D3F2D">
        <w:rPr>
          <w:rFonts w:ascii="Palatino Linotype" w:hAnsi="Palatino Linotype"/>
          <w:b/>
        </w:rPr>
        <w:t xml:space="preserve"> EL </w:t>
      </w:r>
      <w:r w:rsidR="00551987" w:rsidRPr="005D3F2D">
        <w:rPr>
          <w:rFonts w:ascii="Palatino Linotype" w:hAnsi="Palatino Linotype"/>
          <w:b/>
        </w:rPr>
        <w:t xml:space="preserve">RECURSO DE REVISIÓN </w:t>
      </w:r>
      <w:r w:rsidR="00371AFE" w:rsidRPr="005D3F2D">
        <w:rPr>
          <w:rFonts w:ascii="Palatino Linotype" w:hAnsi="Palatino Linotype"/>
          <w:b/>
          <w:bCs/>
        </w:rPr>
        <w:t>03</w:t>
      </w:r>
      <w:r w:rsidR="00F935BE" w:rsidRPr="005D3F2D">
        <w:rPr>
          <w:rFonts w:ascii="Palatino Linotype" w:hAnsi="Palatino Linotype"/>
          <w:b/>
          <w:bCs/>
        </w:rPr>
        <w:t>676</w:t>
      </w:r>
      <w:r w:rsidR="00EA52DE" w:rsidRPr="005D3F2D">
        <w:rPr>
          <w:rFonts w:ascii="Palatino Linotype" w:hAnsi="Palatino Linotype"/>
          <w:b/>
          <w:bCs/>
        </w:rPr>
        <w:t>/INFOEM/IP/RR/2018.</w:t>
      </w:r>
    </w:p>
    <w:p w:rsidR="00551987" w:rsidRPr="005D3F2D" w:rsidRDefault="00B72322" w:rsidP="000E7C2C">
      <w:pPr>
        <w:spacing w:before="240" w:after="240" w:line="360" w:lineRule="auto"/>
        <w:jc w:val="both"/>
        <w:rPr>
          <w:rFonts w:ascii="Palatino Linotype" w:hAnsi="Palatino Linotype"/>
        </w:rPr>
      </w:pPr>
      <w:r w:rsidRPr="005D3F2D">
        <w:rPr>
          <w:rFonts w:ascii="Palatino Linotype" w:hAnsi="Palatino Linotype"/>
        </w:rPr>
        <w:t>El Pleno del Instituto de Transparencia, Acceso a la Información Pública y Protección de Datos Personales del Estado de México resolvió por unanimidad de voto</w:t>
      </w:r>
      <w:r w:rsidR="007B3391" w:rsidRPr="005D3F2D">
        <w:rPr>
          <w:rFonts w:ascii="Palatino Linotype" w:hAnsi="Palatino Linotype"/>
        </w:rPr>
        <w:t>s,</w:t>
      </w:r>
      <w:r w:rsidR="0043077C" w:rsidRPr="005D3F2D">
        <w:rPr>
          <w:rFonts w:ascii="Palatino Linotype" w:hAnsi="Palatino Linotype"/>
        </w:rPr>
        <w:t xml:space="preserve"> la resolución relativa a</w:t>
      </w:r>
      <w:r w:rsidR="00CA4DC5" w:rsidRPr="005D3F2D">
        <w:rPr>
          <w:rFonts w:ascii="Palatino Linotype" w:hAnsi="Palatino Linotype"/>
        </w:rPr>
        <w:t xml:space="preserve">l </w:t>
      </w:r>
      <w:r w:rsidRPr="005D3F2D">
        <w:rPr>
          <w:rFonts w:ascii="Palatino Linotype" w:hAnsi="Palatino Linotype"/>
        </w:rPr>
        <w:t xml:space="preserve">recurso de revisión </w:t>
      </w:r>
      <w:r w:rsidR="003E5641" w:rsidRPr="005D3F2D">
        <w:rPr>
          <w:rFonts w:ascii="Palatino Linotype" w:hAnsi="Palatino Linotype" w:cs="Arial"/>
          <w:b/>
          <w:bCs/>
          <w:lang w:eastAsia="es-MX"/>
        </w:rPr>
        <w:t>0</w:t>
      </w:r>
      <w:r w:rsidR="00371AFE" w:rsidRPr="005D3F2D">
        <w:rPr>
          <w:rFonts w:ascii="Palatino Linotype" w:hAnsi="Palatino Linotype" w:cs="Arial"/>
          <w:b/>
          <w:bCs/>
          <w:lang w:eastAsia="es-MX"/>
        </w:rPr>
        <w:t>3</w:t>
      </w:r>
      <w:r w:rsidR="00F935BE" w:rsidRPr="005D3F2D">
        <w:rPr>
          <w:rFonts w:ascii="Palatino Linotype" w:hAnsi="Palatino Linotype" w:cs="Arial"/>
          <w:b/>
          <w:bCs/>
          <w:lang w:eastAsia="es-MX"/>
        </w:rPr>
        <w:t>676</w:t>
      </w:r>
      <w:r w:rsidR="007B3391" w:rsidRPr="005D3F2D">
        <w:rPr>
          <w:rFonts w:ascii="Palatino Linotype" w:hAnsi="Palatino Linotype" w:cs="Arial"/>
          <w:b/>
          <w:bCs/>
          <w:lang w:eastAsia="es-MX"/>
        </w:rPr>
        <w:t>/INFOEM/IP/RR/2018</w:t>
      </w:r>
      <w:r w:rsidR="00EA52DE" w:rsidRPr="005D3F2D">
        <w:rPr>
          <w:rFonts w:ascii="Palatino Linotype" w:hAnsi="Palatino Linotype" w:cs="Arial"/>
          <w:b/>
          <w:bCs/>
          <w:lang w:eastAsia="es-MX"/>
        </w:rPr>
        <w:t xml:space="preserve">, </w:t>
      </w:r>
      <w:r w:rsidRPr="005D3F2D">
        <w:rPr>
          <w:rFonts w:ascii="Palatino Linotype" w:hAnsi="Palatino Linotype"/>
        </w:rPr>
        <w:t xml:space="preserve">presentada por </w:t>
      </w:r>
      <w:r w:rsidR="00371AFE" w:rsidRPr="005D3F2D">
        <w:rPr>
          <w:rFonts w:ascii="Palatino Linotype" w:hAnsi="Palatino Linotype"/>
        </w:rPr>
        <w:t>el</w:t>
      </w:r>
      <w:r w:rsidR="00A5140D" w:rsidRPr="005D3F2D">
        <w:rPr>
          <w:rFonts w:ascii="Palatino Linotype" w:hAnsi="Palatino Linotype"/>
        </w:rPr>
        <w:t xml:space="preserve"> Comisionad</w:t>
      </w:r>
      <w:r w:rsidR="00371AFE" w:rsidRPr="005D3F2D">
        <w:rPr>
          <w:rFonts w:ascii="Palatino Linotype" w:hAnsi="Palatino Linotype"/>
        </w:rPr>
        <w:t>o</w:t>
      </w:r>
      <w:r w:rsidRPr="005D3F2D">
        <w:rPr>
          <w:rFonts w:ascii="Palatino Linotype" w:hAnsi="Palatino Linotype"/>
        </w:rPr>
        <w:t xml:space="preserve"> </w:t>
      </w:r>
      <w:r w:rsidR="00F935BE" w:rsidRPr="005D3F2D">
        <w:rPr>
          <w:rFonts w:ascii="Palatino Linotype" w:hAnsi="Palatino Linotype"/>
        </w:rPr>
        <w:t>Luis Gustavo Parra Noriega</w:t>
      </w:r>
      <w:r w:rsidRPr="005D3F2D">
        <w:rPr>
          <w:rFonts w:ascii="Palatino Linotype" w:hAnsi="Palatino Linotype"/>
        </w:rPr>
        <w:t xml:space="preserve">, </w:t>
      </w:r>
      <w:r w:rsidR="003E5641" w:rsidRPr="005D3F2D">
        <w:rPr>
          <w:rFonts w:ascii="Palatino Linotype" w:hAnsi="Palatino Linotype"/>
        </w:rPr>
        <w:t xml:space="preserve">respecto de la cual el Comisionado Javier Martínez Cruz emite </w:t>
      </w:r>
      <w:r w:rsidR="003E5641" w:rsidRPr="005D3F2D">
        <w:rPr>
          <w:rFonts w:ascii="Palatino Linotype" w:hAnsi="Palatino Linotype"/>
          <w:b/>
        </w:rPr>
        <w:t>VOTO PARTICULAR</w:t>
      </w:r>
      <w:r w:rsidR="00551987" w:rsidRPr="005D3F2D">
        <w:rPr>
          <w:rFonts w:ascii="Palatino Linotype" w:hAnsi="Palatino Linotype"/>
        </w:rPr>
        <w:t xml:space="preserve"> con fundamento en el artículo 14 fracción XI del Reglamento del Instituto de Transparencia, Acceso a la Información Pública y Protección de Personales Datos del Estado de México.</w:t>
      </w:r>
    </w:p>
    <w:p w:rsidR="00F935BE" w:rsidRPr="005D3F2D" w:rsidRDefault="00CB409F" w:rsidP="000E7C2C">
      <w:pPr>
        <w:spacing w:before="240" w:after="240" w:line="360" w:lineRule="auto"/>
        <w:jc w:val="both"/>
        <w:rPr>
          <w:rFonts w:ascii="Palatino Linotype" w:hAnsi="Palatino Linotype"/>
        </w:rPr>
      </w:pPr>
      <w:r w:rsidRPr="005D3F2D">
        <w:rPr>
          <w:rFonts w:ascii="Palatino Linotype" w:hAnsi="Palatino Linotype"/>
        </w:rPr>
        <w:t>L</w:t>
      </w:r>
      <w:r w:rsidR="00CA4DC5" w:rsidRPr="005D3F2D">
        <w:rPr>
          <w:rFonts w:ascii="Palatino Linotype" w:hAnsi="Palatino Linotype"/>
        </w:rPr>
        <w:t>a materia en que radicó el</w:t>
      </w:r>
      <w:r w:rsidR="009B5C84" w:rsidRPr="005D3F2D">
        <w:rPr>
          <w:rFonts w:ascii="Palatino Linotype" w:hAnsi="Palatino Linotype"/>
        </w:rPr>
        <w:t xml:space="preserve"> recurso</w:t>
      </w:r>
      <w:r w:rsidR="003D235F" w:rsidRPr="005D3F2D">
        <w:rPr>
          <w:rFonts w:ascii="Palatino Linotype" w:hAnsi="Palatino Linotype"/>
        </w:rPr>
        <w:t xml:space="preserve"> de revisión,</w:t>
      </w:r>
      <w:r w:rsidR="002251C2" w:rsidRPr="005D3F2D">
        <w:rPr>
          <w:rFonts w:ascii="Palatino Linotype" w:hAnsi="Palatino Linotype"/>
        </w:rPr>
        <w:t xml:space="preserve"> </w:t>
      </w:r>
      <w:r w:rsidRPr="005D3F2D">
        <w:rPr>
          <w:rFonts w:ascii="Palatino Linotype" w:hAnsi="Palatino Linotype"/>
        </w:rPr>
        <w:t xml:space="preserve">consistió en que la particular pidió a la Secretaría de </w:t>
      </w:r>
      <w:r w:rsidR="00D6503E" w:rsidRPr="005D3F2D">
        <w:rPr>
          <w:rFonts w:ascii="Palatino Linotype" w:hAnsi="Palatino Linotype"/>
        </w:rPr>
        <w:t xml:space="preserve">Movilidad, </w:t>
      </w:r>
      <w:r w:rsidRPr="005D3F2D">
        <w:rPr>
          <w:rFonts w:ascii="Palatino Linotype" w:hAnsi="Palatino Linotype"/>
        </w:rPr>
        <w:t xml:space="preserve">le proporcionara información relacionada con los </w:t>
      </w:r>
      <w:r w:rsidRPr="005D3F2D">
        <w:rPr>
          <w:rFonts w:ascii="Palatino Linotype" w:hAnsi="Palatino Linotype" w:cs="Tahoma"/>
          <w:bCs/>
        </w:rPr>
        <w:t>vehículos (placas de circulación, tarjeta</w:t>
      </w:r>
      <w:r w:rsidR="00D6503E" w:rsidRPr="005D3F2D">
        <w:rPr>
          <w:rFonts w:ascii="Palatino Linotype" w:hAnsi="Palatino Linotype" w:cs="Tahoma"/>
          <w:bCs/>
        </w:rPr>
        <w:t>s</w:t>
      </w:r>
      <w:r w:rsidRPr="005D3F2D">
        <w:rPr>
          <w:rFonts w:ascii="Palatino Linotype" w:hAnsi="Palatino Linotype" w:cs="Tahoma"/>
          <w:bCs/>
        </w:rPr>
        <w:t xml:space="preserve"> de circulación, modelo y marca), que poseía su señor padre al momento de su fallecimiento, de quien proporcionó el nombre, RFC y fecha del deceso</w:t>
      </w:r>
      <w:r w:rsidR="008712FC" w:rsidRPr="005D3F2D">
        <w:rPr>
          <w:rFonts w:ascii="Palatino Linotype" w:hAnsi="Palatino Linotype" w:cs="Tahoma"/>
          <w:bCs/>
        </w:rPr>
        <w:t xml:space="preserve"> (julio del año 2013)</w:t>
      </w:r>
      <w:r w:rsidRPr="005D3F2D">
        <w:rPr>
          <w:rFonts w:ascii="Palatino Linotype" w:hAnsi="Palatino Linotype" w:cs="Tahoma"/>
          <w:bCs/>
        </w:rPr>
        <w:t xml:space="preserve">. </w:t>
      </w:r>
      <w:r w:rsidRPr="005D3F2D">
        <w:rPr>
          <w:rFonts w:ascii="Palatino Linotype" w:hAnsi="Palatino Linotype"/>
        </w:rPr>
        <w:t xml:space="preserve">  </w:t>
      </w:r>
    </w:p>
    <w:p w:rsidR="002862EE" w:rsidRPr="005D3F2D" w:rsidRDefault="002862EE" w:rsidP="000E7C2C">
      <w:pPr>
        <w:spacing w:before="240" w:after="240" w:line="360" w:lineRule="auto"/>
        <w:jc w:val="both"/>
        <w:rPr>
          <w:rFonts w:ascii="Palatino Linotype" w:hAnsi="Palatino Linotype"/>
        </w:rPr>
      </w:pPr>
      <w:r w:rsidRPr="005D3F2D">
        <w:rPr>
          <w:rFonts w:ascii="Palatino Linotype" w:hAnsi="Palatino Linotype"/>
        </w:rPr>
        <w:t>Previo a la respuesta</w:t>
      </w:r>
      <w:r w:rsidR="00486956">
        <w:rPr>
          <w:rFonts w:ascii="Palatino Linotype" w:hAnsi="Palatino Linotype"/>
        </w:rPr>
        <w:t>,</w:t>
      </w:r>
      <w:r w:rsidRPr="005D3F2D">
        <w:rPr>
          <w:rFonts w:ascii="Palatino Linotype" w:hAnsi="Palatino Linotype"/>
        </w:rPr>
        <w:t xml:space="preserve"> el Sujeto Obligado requirió que la peticionaria aclarara si la información requerida era de servicio público o de transporte particular; por lo que la peticionaria aclaró que su señor padre</w:t>
      </w:r>
      <w:r w:rsidRPr="005D3F2D">
        <w:t xml:space="preserve"> </w:t>
      </w:r>
      <w:r w:rsidRPr="005D3F2D">
        <w:rPr>
          <w:rFonts w:ascii="Palatino Linotype" w:hAnsi="Palatino Linotype"/>
        </w:rPr>
        <w:t xml:space="preserve">poseía un vehículo particular que utilizaba para prestar servicio de taxi dentro de una plaza comercial </w:t>
      </w:r>
    </w:p>
    <w:p w:rsidR="002862EE" w:rsidRPr="005D3F2D" w:rsidRDefault="00C75F15" w:rsidP="000E7C2C">
      <w:pPr>
        <w:spacing w:before="240" w:after="240" w:line="360" w:lineRule="auto"/>
        <w:jc w:val="both"/>
        <w:rPr>
          <w:rFonts w:ascii="Palatino Linotype" w:hAnsi="Palatino Linotype"/>
        </w:rPr>
      </w:pPr>
      <w:r w:rsidRPr="005D3F2D">
        <w:rPr>
          <w:rFonts w:ascii="Palatino Linotype" w:hAnsi="Palatino Linotype"/>
        </w:rPr>
        <w:lastRenderedPageBreak/>
        <w:t>E</w:t>
      </w:r>
      <w:r w:rsidR="00303E34" w:rsidRPr="005D3F2D">
        <w:rPr>
          <w:rFonts w:ascii="Palatino Linotype" w:hAnsi="Palatino Linotype"/>
        </w:rPr>
        <w:t>l</w:t>
      </w:r>
      <w:r w:rsidRPr="005D3F2D">
        <w:rPr>
          <w:rFonts w:ascii="Palatino Linotype" w:hAnsi="Palatino Linotype"/>
        </w:rPr>
        <w:t xml:space="preserve"> Sujeto Obligado respondió que el </w:t>
      </w:r>
      <w:r w:rsidR="002862EE" w:rsidRPr="005D3F2D">
        <w:rPr>
          <w:rFonts w:ascii="Palatino Linotype" w:eastAsia="Times New Roman" w:hAnsi="Palatino Linotype" w:cs="Tahoma"/>
          <w:lang w:eastAsia="es-ES"/>
        </w:rPr>
        <w:t>Director General de</w:t>
      </w:r>
      <w:r w:rsidR="0040160E">
        <w:rPr>
          <w:rFonts w:ascii="Palatino Linotype" w:eastAsia="Times New Roman" w:hAnsi="Palatino Linotype" w:cs="Tahoma"/>
          <w:lang w:eastAsia="es-ES"/>
        </w:rPr>
        <w:t>l</w:t>
      </w:r>
      <w:r w:rsidR="002862EE" w:rsidRPr="005D3F2D">
        <w:rPr>
          <w:rFonts w:ascii="Palatino Linotype" w:eastAsia="Times New Roman" w:hAnsi="Palatino Linotype" w:cs="Tahoma"/>
          <w:lang w:eastAsia="es-ES"/>
        </w:rPr>
        <w:t xml:space="preserve"> </w:t>
      </w:r>
      <w:r w:rsidR="0040160E">
        <w:rPr>
          <w:rFonts w:ascii="Palatino Linotype" w:eastAsia="Times New Roman" w:hAnsi="Palatino Linotype" w:cs="Tahoma"/>
          <w:lang w:eastAsia="es-ES"/>
        </w:rPr>
        <w:t>“</w:t>
      </w:r>
      <w:r w:rsidR="002862EE" w:rsidRPr="005D3F2D">
        <w:rPr>
          <w:rFonts w:ascii="Palatino Linotype" w:eastAsia="Times New Roman" w:hAnsi="Palatino Linotype" w:cs="Tahoma"/>
          <w:lang w:eastAsia="es-ES"/>
        </w:rPr>
        <w:t>Registro Estatal de Transporte Público</w:t>
      </w:r>
      <w:r w:rsidR="0040160E">
        <w:rPr>
          <w:rFonts w:ascii="Palatino Linotype" w:eastAsia="Times New Roman" w:hAnsi="Palatino Linotype" w:cs="Tahoma"/>
          <w:lang w:eastAsia="es-ES"/>
        </w:rPr>
        <w:t>”</w:t>
      </w:r>
      <w:r w:rsidR="002862EE" w:rsidRPr="005D3F2D">
        <w:rPr>
          <w:rFonts w:ascii="Palatino Linotype" w:eastAsia="Times New Roman" w:hAnsi="Palatino Linotype" w:cs="Tahoma"/>
          <w:lang w:eastAsia="es-ES"/>
        </w:rPr>
        <w:t xml:space="preserve"> realizó la búsqueda a través del rubro </w:t>
      </w:r>
      <w:r w:rsidR="007D69C1">
        <w:rPr>
          <w:rFonts w:ascii="Palatino Linotype" w:eastAsia="Times New Roman" w:hAnsi="Palatino Linotype" w:cs="Tahoma"/>
          <w:lang w:eastAsia="es-ES"/>
        </w:rPr>
        <w:t>“</w:t>
      </w:r>
      <w:r w:rsidR="002862EE" w:rsidRPr="005D3F2D">
        <w:rPr>
          <w:rFonts w:ascii="Palatino Linotype" w:eastAsia="Times New Roman" w:hAnsi="Palatino Linotype" w:cs="Tahoma"/>
          <w:lang w:eastAsia="es-ES"/>
        </w:rPr>
        <w:t>titular de concesión y/o nombre de propietario de vehículo</w:t>
      </w:r>
      <w:r w:rsidR="007D69C1">
        <w:rPr>
          <w:rFonts w:ascii="Palatino Linotype" w:eastAsia="Times New Roman" w:hAnsi="Palatino Linotype" w:cs="Tahoma"/>
          <w:lang w:eastAsia="es-ES"/>
        </w:rPr>
        <w:t>”</w:t>
      </w:r>
      <w:r w:rsidR="002862EE" w:rsidRPr="005D3F2D">
        <w:rPr>
          <w:rFonts w:ascii="Palatino Linotype" w:eastAsia="Times New Roman" w:hAnsi="Palatino Linotype" w:cs="Tahoma"/>
          <w:lang w:eastAsia="es-ES"/>
        </w:rPr>
        <w:t xml:space="preserve">, encontrando registro de una concesión </w:t>
      </w:r>
      <w:r w:rsidR="000B0984">
        <w:rPr>
          <w:rFonts w:ascii="Palatino Linotype" w:eastAsia="Times New Roman" w:hAnsi="Palatino Linotype" w:cs="Tahoma"/>
          <w:lang w:eastAsia="es-ES"/>
        </w:rPr>
        <w:t xml:space="preserve">con el nombre </w:t>
      </w:r>
      <w:r w:rsidR="002862EE" w:rsidRPr="005D3F2D">
        <w:rPr>
          <w:rFonts w:ascii="Palatino Linotype" w:eastAsia="Times New Roman" w:hAnsi="Palatino Linotype" w:cs="Tahoma"/>
          <w:lang w:eastAsia="es-ES"/>
        </w:rPr>
        <w:t>de</w:t>
      </w:r>
      <w:r w:rsidRPr="005D3F2D">
        <w:rPr>
          <w:rFonts w:ascii="Palatino Linotype" w:eastAsia="Times New Roman" w:hAnsi="Palatino Linotype" w:cs="Tahoma"/>
          <w:lang w:eastAsia="es-ES"/>
        </w:rPr>
        <w:t xml:space="preserve"> la persona de quien fue requerida información, mencionando que ha</w:t>
      </w:r>
      <w:r w:rsidR="002862EE" w:rsidRPr="005D3F2D">
        <w:rPr>
          <w:rFonts w:ascii="Palatino Linotype" w:eastAsia="Times New Roman" w:hAnsi="Palatino Linotype" w:cs="Tahoma"/>
          <w:lang w:eastAsia="es-ES"/>
        </w:rPr>
        <w:t>sta el 2 de mayo del año 2018 tuvo afecto un vehículo</w:t>
      </w:r>
      <w:r w:rsidRPr="005D3F2D">
        <w:rPr>
          <w:rFonts w:ascii="Palatino Linotype" w:eastAsia="Times New Roman" w:hAnsi="Palatino Linotype" w:cs="Tahoma"/>
          <w:lang w:eastAsia="es-ES"/>
        </w:rPr>
        <w:t xml:space="preserve">, proporcionando </w:t>
      </w:r>
      <w:r w:rsidR="00A7527D">
        <w:rPr>
          <w:rFonts w:ascii="Palatino Linotype" w:eastAsia="Times New Roman" w:hAnsi="Palatino Linotype" w:cs="Tahoma"/>
          <w:lang w:eastAsia="es-ES"/>
        </w:rPr>
        <w:t>l</w:t>
      </w:r>
      <w:r w:rsidRPr="005D3F2D">
        <w:rPr>
          <w:rFonts w:ascii="Palatino Linotype" w:eastAsia="Times New Roman" w:hAnsi="Palatino Linotype" w:cs="Tahoma"/>
          <w:lang w:eastAsia="es-ES"/>
        </w:rPr>
        <w:t xml:space="preserve">a marca, modelo, </w:t>
      </w:r>
      <w:r w:rsidR="002862EE" w:rsidRPr="005D3F2D">
        <w:rPr>
          <w:rFonts w:ascii="Palatino Linotype" w:eastAsia="Times New Roman" w:hAnsi="Palatino Linotype" w:cs="Tahoma"/>
          <w:lang w:eastAsia="es-ES"/>
        </w:rPr>
        <w:t>número de placas</w:t>
      </w:r>
      <w:r w:rsidRPr="005D3F2D">
        <w:rPr>
          <w:rFonts w:ascii="Palatino Linotype" w:eastAsia="Times New Roman" w:hAnsi="Palatino Linotype" w:cs="Tahoma"/>
          <w:lang w:eastAsia="es-ES"/>
        </w:rPr>
        <w:t xml:space="preserve"> y </w:t>
      </w:r>
      <w:r w:rsidR="002862EE" w:rsidRPr="005D3F2D">
        <w:rPr>
          <w:rFonts w:ascii="Palatino Linotype" w:eastAsia="Times New Roman" w:hAnsi="Palatino Linotype" w:cs="Tahoma"/>
          <w:lang w:eastAsia="es-ES"/>
        </w:rPr>
        <w:t>folio de tarjeta de circulación</w:t>
      </w:r>
      <w:r w:rsidRPr="005D3F2D">
        <w:rPr>
          <w:rFonts w:ascii="Palatino Linotype" w:eastAsia="Times New Roman" w:hAnsi="Palatino Linotype" w:cs="Tahoma"/>
          <w:lang w:eastAsia="es-ES"/>
        </w:rPr>
        <w:t xml:space="preserve">. </w:t>
      </w:r>
    </w:p>
    <w:p w:rsidR="00CC7EFB" w:rsidRPr="005D3F2D" w:rsidRDefault="00AE3D18" w:rsidP="000E7C2C">
      <w:pPr>
        <w:spacing w:before="240" w:after="240" w:line="360" w:lineRule="auto"/>
        <w:jc w:val="both"/>
        <w:rPr>
          <w:rFonts w:ascii="Palatino Linotype" w:hAnsi="Palatino Linotype"/>
        </w:rPr>
      </w:pPr>
      <w:r w:rsidRPr="005D3F2D">
        <w:rPr>
          <w:rFonts w:ascii="Palatino Linotype" w:hAnsi="Palatino Linotype"/>
        </w:rPr>
        <w:t>Inconforme con la respuesta</w:t>
      </w:r>
      <w:r w:rsidR="00E31F49" w:rsidRPr="005D3F2D">
        <w:rPr>
          <w:rFonts w:ascii="Palatino Linotype" w:hAnsi="Palatino Linotype"/>
        </w:rPr>
        <w:t xml:space="preserve">, </w:t>
      </w:r>
      <w:r w:rsidR="005906E8" w:rsidRPr="005D3F2D">
        <w:rPr>
          <w:rFonts w:ascii="Palatino Linotype" w:hAnsi="Palatino Linotype"/>
        </w:rPr>
        <w:t xml:space="preserve">la </w:t>
      </w:r>
      <w:r w:rsidR="00E31F49" w:rsidRPr="005D3F2D">
        <w:rPr>
          <w:rFonts w:ascii="Palatino Linotype" w:hAnsi="Palatino Linotype"/>
        </w:rPr>
        <w:t xml:space="preserve">particular </w:t>
      </w:r>
      <w:r w:rsidRPr="005D3F2D">
        <w:rPr>
          <w:rFonts w:ascii="Palatino Linotype" w:hAnsi="Palatino Linotype"/>
        </w:rPr>
        <w:t>procedió a través de</w:t>
      </w:r>
      <w:r w:rsidR="00DF6EE0" w:rsidRPr="005D3F2D">
        <w:rPr>
          <w:rFonts w:ascii="Palatino Linotype" w:hAnsi="Palatino Linotype"/>
        </w:rPr>
        <w:t xml:space="preserve">l </w:t>
      </w:r>
      <w:r w:rsidR="009B2B5C" w:rsidRPr="005D3F2D">
        <w:rPr>
          <w:rFonts w:ascii="Palatino Linotype" w:hAnsi="Palatino Linotype"/>
        </w:rPr>
        <w:t>recurso de revisión que se resuelve</w:t>
      </w:r>
      <w:r w:rsidRPr="005D3F2D">
        <w:rPr>
          <w:rFonts w:ascii="Palatino Linotype" w:hAnsi="Palatino Linotype"/>
        </w:rPr>
        <w:t xml:space="preserve">, </w:t>
      </w:r>
      <w:r w:rsidR="009B2B5C" w:rsidRPr="005D3F2D">
        <w:rPr>
          <w:rFonts w:ascii="Palatino Linotype" w:hAnsi="Palatino Linotype"/>
        </w:rPr>
        <w:t xml:space="preserve">manifestando </w:t>
      </w:r>
      <w:r w:rsidR="00BD0B9F" w:rsidRPr="005D3F2D">
        <w:rPr>
          <w:rFonts w:ascii="Palatino Linotype" w:hAnsi="Palatino Linotype"/>
        </w:rPr>
        <w:t xml:space="preserve">de manera concreta como </w:t>
      </w:r>
      <w:r w:rsidR="00BD0B9F" w:rsidRPr="005D3F2D">
        <w:rPr>
          <w:rFonts w:ascii="Palatino Linotype" w:hAnsi="Palatino Linotype"/>
          <w:b/>
        </w:rPr>
        <w:t>motivos de inconformidad</w:t>
      </w:r>
      <w:r w:rsidR="00CC7EFB" w:rsidRPr="005D3F2D">
        <w:rPr>
          <w:rFonts w:ascii="Palatino Linotype" w:hAnsi="Palatino Linotype"/>
          <w:b/>
        </w:rPr>
        <w:t xml:space="preserve"> </w:t>
      </w:r>
      <w:r w:rsidR="00CC7EFB" w:rsidRPr="005D3F2D">
        <w:rPr>
          <w:rFonts w:ascii="Palatino Linotype" w:hAnsi="Palatino Linotype"/>
        </w:rPr>
        <w:t>que la respuesta no coincide con el RFC de su señor padre</w:t>
      </w:r>
      <w:r w:rsidR="00414324">
        <w:rPr>
          <w:rFonts w:ascii="Palatino Linotype" w:hAnsi="Palatino Linotype"/>
        </w:rPr>
        <w:t xml:space="preserve">, </w:t>
      </w:r>
      <w:r w:rsidR="00CC7EFB" w:rsidRPr="005D3F2D">
        <w:rPr>
          <w:rFonts w:ascii="Palatino Linotype" w:hAnsi="Palatino Linotype"/>
        </w:rPr>
        <w:t>por lo que solicitó se realice una nueva búsqueda que coincida con las fechas y datos proporcionados.</w:t>
      </w:r>
    </w:p>
    <w:p w:rsidR="00BF7A3F" w:rsidRPr="005D3F2D" w:rsidRDefault="00CC7EFB" w:rsidP="00BF7A3F">
      <w:pPr>
        <w:spacing w:before="240" w:after="240" w:line="360" w:lineRule="auto"/>
        <w:jc w:val="both"/>
        <w:rPr>
          <w:rFonts w:ascii="Palatino Linotype" w:hAnsi="Palatino Linotype"/>
        </w:rPr>
      </w:pPr>
      <w:r w:rsidRPr="005D3F2D">
        <w:rPr>
          <w:rFonts w:ascii="Palatino Linotype" w:hAnsi="Palatino Linotype"/>
        </w:rPr>
        <w:t>E</w:t>
      </w:r>
      <w:r w:rsidR="00170859" w:rsidRPr="005D3F2D">
        <w:rPr>
          <w:rFonts w:ascii="Palatino Linotype" w:hAnsi="Palatino Linotype"/>
        </w:rPr>
        <w:t xml:space="preserve">l Sujeto Obligado </w:t>
      </w:r>
      <w:r w:rsidR="00683DDE" w:rsidRPr="005D3F2D">
        <w:rPr>
          <w:rFonts w:ascii="Palatino Linotype" w:hAnsi="Palatino Linotype"/>
        </w:rPr>
        <w:t xml:space="preserve">rindió </w:t>
      </w:r>
      <w:r w:rsidR="00170859" w:rsidRPr="005D3F2D">
        <w:rPr>
          <w:rFonts w:ascii="Palatino Linotype" w:hAnsi="Palatino Linotype"/>
        </w:rPr>
        <w:t>Informe Justificado</w:t>
      </w:r>
      <w:r w:rsidR="00683DDE" w:rsidRPr="005D3F2D">
        <w:rPr>
          <w:rFonts w:ascii="Palatino Linotype" w:hAnsi="Palatino Linotype"/>
        </w:rPr>
        <w:t xml:space="preserve"> mediante el cual</w:t>
      </w:r>
      <w:r w:rsidR="00170859" w:rsidRPr="005D3F2D">
        <w:rPr>
          <w:rFonts w:ascii="Palatino Linotype" w:hAnsi="Palatino Linotype"/>
        </w:rPr>
        <w:t xml:space="preserve"> </w:t>
      </w:r>
      <w:r w:rsidR="00797361" w:rsidRPr="005D3F2D">
        <w:rPr>
          <w:rFonts w:ascii="Palatino Linotype" w:hAnsi="Palatino Linotype"/>
        </w:rPr>
        <w:t xml:space="preserve">refirió que </w:t>
      </w:r>
      <w:r w:rsidR="00BF7A3F" w:rsidRPr="005D3F2D">
        <w:rPr>
          <w:rFonts w:ascii="Palatino Linotype" w:hAnsi="Palatino Linotype"/>
        </w:rPr>
        <w:t xml:space="preserve">el Director General del Registro Estatal de Transporte Público informó que los datos proporcionados en la respuesta, son los que obran en el Registro Estatal de Transporte Público, señalando que los parámetros bajo los que se genera el rastreo de información </w:t>
      </w:r>
      <w:r w:rsidR="00BF7A3F" w:rsidRPr="003E5BCE">
        <w:rPr>
          <w:rFonts w:ascii="Palatino Linotype" w:hAnsi="Palatino Linotype"/>
          <w:u w:val="single"/>
        </w:rPr>
        <w:t>en el archivo histórico digital</w:t>
      </w:r>
      <w:r w:rsidR="00BF7A3F" w:rsidRPr="005D3F2D">
        <w:rPr>
          <w:rFonts w:ascii="Palatino Linotype" w:hAnsi="Palatino Linotype"/>
        </w:rPr>
        <w:t xml:space="preserve"> de dicha dependencia son: </w:t>
      </w:r>
    </w:p>
    <w:p w:rsidR="00BF7A3F" w:rsidRPr="005D3F2D" w:rsidRDefault="00BF7A3F" w:rsidP="00BF7A3F">
      <w:pPr>
        <w:spacing w:after="0" w:line="240" w:lineRule="auto"/>
        <w:jc w:val="both"/>
        <w:rPr>
          <w:rFonts w:ascii="Palatino Linotype" w:hAnsi="Palatino Linotype"/>
        </w:rPr>
      </w:pPr>
      <w:r w:rsidRPr="005D3F2D">
        <w:rPr>
          <w:rFonts w:ascii="Palatino Linotype" w:hAnsi="Palatino Linotype"/>
        </w:rPr>
        <w:t xml:space="preserve">1. Por formato de Transporte Público (en sus siglas FTP) </w:t>
      </w:r>
    </w:p>
    <w:p w:rsidR="00BF7A3F" w:rsidRPr="005D3F2D" w:rsidRDefault="00BF7A3F" w:rsidP="00BF7A3F">
      <w:pPr>
        <w:spacing w:after="0" w:line="240" w:lineRule="auto"/>
        <w:jc w:val="both"/>
        <w:rPr>
          <w:rFonts w:ascii="Palatino Linotype" w:hAnsi="Palatino Linotype"/>
        </w:rPr>
      </w:pPr>
      <w:r w:rsidRPr="005D3F2D">
        <w:rPr>
          <w:rFonts w:ascii="Palatino Linotype" w:hAnsi="Palatino Linotype"/>
        </w:rPr>
        <w:t xml:space="preserve">2. Por concesión </w:t>
      </w:r>
    </w:p>
    <w:p w:rsidR="00BF7A3F" w:rsidRPr="005D3F2D" w:rsidRDefault="00BF7A3F" w:rsidP="00BF7A3F">
      <w:pPr>
        <w:spacing w:after="0" w:line="240" w:lineRule="auto"/>
        <w:jc w:val="both"/>
        <w:rPr>
          <w:rFonts w:ascii="Palatino Linotype" w:hAnsi="Palatino Linotype"/>
        </w:rPr>
      </w:pPr>
      <w:r w:rsidRPr="005D3F2D">
        <w:rPr>
          <w:rFonts w:ascii="Palatino Linotype" w:hAnsi="Palatino Linotype"/>
        </w:rPr>
        <w:t xml:space="preserve">3. Por concesión anterior </w:t>
      </w:r>
    </w:p>
    <w:p w:rsidR="00BF7A3F" w:rsidRPr="005D3F2D" w:rsidRDefault="00BF7A3F" w:rsidP="00BF7A3F">
      <w:pPr>
        <w:spacing w:after="0" w:line="240" w:lineRule="auto"/>
        <w:jc w:val="both"/>
        <w:rPr>
          <w:rFonts w:ascii="Palatino Linotype" w:hAnsi="Palatino Linotype"/>
        </w:rPr>
      </w:pPr>
      <w:r w:rsidRPr="005D3F2D">
        <w:rPr>
          <w:rFonts w:ascii="Palatino Linotype" w:hAnsi="Palatino Linotype"/>
        </w:rPr>
        <w:t>4. Por Titular o propietario</w:t>
      </w:r>
    </w:p>
    <w:p w:rsidR="00BF7A3F" w:rsidRPr="005D3F2D" w:rsidRDefault="00BF7A3F" w:rsidP="00BF7A3F">
      <w:pPr>
        <w:spacing w:after="0" w:line="240" w:lineRule="auto"/>
        <w:jc w:val="both"/>
        <w:rPr>
          <w:rFonts w:ascii="Palatino Linotype" w:hAnsi="Palatino Linotype"/>
        </w:rPr>
      </w:pPr>
      <w:r w:rsidRPr="005D3F2D">
        <w:rPr>
          <w:rFonts w:ascii="Palatino Linotype" w:hAnsi="Palatino Linotype"/>
        </w:rPr>
        <w:t xml:space="preserve">5. Por placa </w:t>
      </w:r>
    </w:p>
    <w:p w:rsidR="00BF7A3F" w:rsidRPr="005D3F2D" w:rsidRDefault="00BF7A3F" w:rsidP="00BF7A3F">
      <w:pPr>
        <w:spacing w:after="0" w:line="240" w:lineRule="auto"/>
        <w:jc w:val="both"/>
        <w:rPr>
          <w:rFonts w:ascii="Palatino Linotype" w:hAnsi="Palatino Linotype"/>
        </w:rPr>
      </w:pPr>
      <w:r w:rsidRPr="005D3F2D">
        <w:rPr>
          <w:rFonts w:ascii="Palatino Linotype" w:hAnsi="Palatino Linotype"/>
        </w:rPr>
        <w:t xml:space="preserve">6. Por serie vehicular </w:t>
      </w:r>
    </w:p>
    <w:p w:rsidR="00BF7A3F" w:rsidRPr="005D3F2D" w:rsidRDefault="00BF7A3F" w:rsidP="00BF7A3F">
      <w:pPr>
        <w:spacing w:before="240" w:after="240" w:line="360" w:lineRule="auto"/>
        <w:jc w:val="both"/>
        <w:rPr>
          <w:rFonts w:ascii="Palatino Linotype" w:hAnsi="Palatino Linotype"/>
        </w:rPr>
      </w:pPr>
      <w:r w:rsidRPr="005D3F2D">
        <w:rPr>
          <w:rFonts w:ascii="Palatino Linotype" w:hAnsi="Palatino Linotype"/>
        </w:rPr>
        <w:t>Que la</w:t>
      </w:r>
      <w:r w:rsidR="00D241C2" w:rsidRPr="005D3F2D">
        <w:rPr>
          <w:rFonts w:ascii="Palatino Linotype" w:hAnsi="Palatino Linotype"/>
        </w:rPr>
        <w:t xml:space="preserve"> u</w:t>
      </w:r>
      <w:r w:rsidRPr="005D3F2D">
        <w:rPr>
          <w:rFonts w:ascii="Palatino Linotype" w:hAnsi="Palatino Linotype"/>
        </w:rPr>
        <w:t xml:space="preserve">nidad administrativa </w:t>
      </w:r>
      <w:r w:rsidRPr="005D3F2D">
        <w:rPr>
          <w:rFonts w:ascii="Palatino Linotype" w:eastAsia="Times New Roman" w:hAnsi="Palatino Linotype" w:cs="Tahoma"/>
          <w:lang w:eastAsia="es-ES"/>
        </w:rPr>
        <w:t>realizó la búsqueda bajo el rubro ‘POR TITULAR O PROPIETARIO’, e insertó la i</w:t>
      </w:r>
      <w:r w:rsidRPr="005D3F2D">
        <w:rPr>
          <w:rFonts w:ascii="Palatino Linotype" w:hAnsi="Palatino Linotype"/>
        </w:rPr>
        <w:t xml:space="preserve">mpresión de pantalla del sistema de búsqueda en la página electrónica de la Secretaría de Movilidad.  </w:t>
      </w:r>
    </w:p>
    <w:p w:rsidR="00200F70" w:rsidRPr="005D3F2D" w:rsidRDefault="001A20C7" w:rsidP="00200F70">
      <w:pPr>
        <w:spacing w:line="360" w:lineRule="auto"/>
        <w:jc w:val="both"/>
        <w:rPr>
          <w:rFonts w:ascii="Palatino Linotype" w:eastAsia="Calibri" w:hAnsi="Palatino Linotype" w:cs="Tahoma"/>
          <w:bCs/>
        </w:rPr>
      </w:pPr>
      <w:r w:rsidRPr="005D3F2D">
        <w:rPr>
          <w:rFonts w:ascii="Palatino Linotype" w:hAnsi="Palatino Linotype"/>
        </w:rPr>
        <w:lastRenderedPageBreak/>
        <w:t>L</w:t>
      </w:r>
      <w:r w:rsidR="00200F70" w:rsidRPr="005D3F2D">
        <w:rPr>
          <w:rFonts w:ascii="Palatino Linotype" w:hAnsi="Palatino Linotype"/>
        </w:rPr>
        <w:t xml:space="preserve">a Ponencia resolutora concluyó que </w:t>
      </w:r>
      <w:r w:rsidR="00200F70" w:rsidRPr="005D3F2D">
        <w:rPr>
          <w:rFonts w:ascii="Palatino Linotype" w:eastAsia="Times New Roman" w:hAnsi="Palatino Linotype" w:cs="Tahoma"/>
          <w:lang w:eastAsia="es-ES"/>
        </w:rPr>
        <w:t xml:space="preserve">el Sujeto Obligado cumplió con lo establecido en el artículo 162 de la Ley de la materia, pues turnó la solicitud de información a la única unidad administrativa competente para conocer de lo requerido, a saber, la </w:t>
      </w:r>
      <w:r w:rsidR="00200F70" w:rsidRPr="005D3F2D">
        <w:rPr>
          <w:rFonts w:ascii="Palatino Linotype" w:eastAsia="Times New Roman" w:hAnsi="Palatino Linotype" w:cs="Tahoma"/>
          <w:b/>
          <w:lang w:eastAsia="es-ES"/>
        </w:rPr>
        <w:t xml:space="preserve">Dirección General </w:t>
      </w:r>
      <w:r w:rsidR="00200F70" w:rsidRPr="005D3F2D">
        <w:rPr>
          <w:rFonts w:ascii="Palatino Linotype" w:eastAsia="Calibri" w:hAnsi="Palatino Linotype" w:cs="Tahoma"/>
          <w:b/>
          <w:bCs/>
        </w:rPr>
        <w:t>de Registro Estatal de Transporte Público</w:t>
      </w:r>
      <w:r w:rsidR="005D1A31" w:rsidRPr="005D3F2D">
        <w:rPr>
          <w:rFonts w:ascii="Palatino Linotype" w:eastAsia="Calibri" w:hAnsi="Palatino Linotype" w:cs="Tahoma"/>
          <w:bCs/>
        </w:rPr>
        <w:t>; que los datos proporcionados fueron los obtenidos en el Registro Estatal de Transporte Público; además que en dicho sistema los parámetros para realizar una búsqueda en el archivo histórico digital, eran los citados por el Sujeto Obligado; que éste realizó la búsqueda en el sistema idóneo para ubicar la información requerida, pues como se desprendió</w:t>
      </w:r>
      <w:r w:rsidR="00746F7F">
        <w:rPr>
          <w:rFonts w:ascii="Palatino Linotype" w:eastAsia="Calibri" w:hAnsi="Palatino Linotype" w:cs="Tahoma"/>
          <w:bCs/>
        </w:rPr>
        <w:t>,</w:t>
      </w:r>
      <w:r w:rsidR="005D1A31" w:rsidRPr="005D3F2D">
        <w:rPr>
          <w:rFonts w:ascii="Palatino Linotype" w:eastAsia="Calibri" w:hAnsi="Palatino Linotype" w:cs="Tahoma"/>
          <w:bCs/>
        </w:rPr>
        <w:t xml:space="preserve"> el </w:t>
      </w:r>
      <w:r w:rsidR="005D1A31" w:rsidRPr="005D3F2D">
        <w:rPr>
          <w:rFonts w:ascii="Palatino Linotype" w:eastAsia="Calibri" w:hAnsi="Palatino Linotype" w:cs="Tahoma"/>
          <w:b/>
          <w:bCs/>
        </w:rPr>
        <w:t>Registro Estatal de Transporte Público</w:t>
      </w:r>
      <w:r w:rsidR="005D1A31" w:rsidRPr="005D3F2D">
        <w:rPr>
          <w:rFonts w:ascii="Palatino Linotype" w:eastAsia="Calibri" w:hAnsi="Palatino Linotype" w:cs="Tahoma"/>
          <w:bCs/>
        </w:rPr>
        <w:t xml:space="preserve"> contiene la información de las concesiones y permisos otorgados por la Secretaría de Movilidad. </w:t>
      </w:r>
    </w:p>
    <w:p w:rsidR="001A20C7" w:rsidRPr="005D3F2D" w:rsidRDefault="001A20C7" w:rsidP="001A20C7">
      <w:pPr>
        <w:spacing w:line="360" w:lineRule="auto"/>
        <w:ind w:right="-93"/>
        <w:jc w:val="both"/>
        <w:rPr>
          <w:rFonts w:ascii="Palatino Linotype" w:eastAsia="Calibri" w:hAnsi="Palatino Linotype" w:cs="Tahoma"/>
          <w:iCs/>
          <w:lang w:eastAsia="es-ES_tradnl"/>
        </w:rPr>
      </w:pPr>
      <w:r w:rsidRPr="005D3F2D">
        <w:rPr>
          <w:rFonts w:ascii="Palatino Linotype" w:eastAsia="Calibri" w:hAnsi="Palatino Linotype" w:cs="Tahoma"/>
          <w:bCs/>
        </w:rPr>
        <w:t xml:space="preserve">En ese tenor, la Ponencia resolutora determinó fundado </w:t>
      </w:r>
      <w:r w:rsidRPr="005D3F2D">
        <w:rPr>
          <w:rFonts w:ascii="Palatino Linotype" w:eastAsia="Times New Roman" w:hAnsi="Palatino Linotype" w:cs="Tahoma"/>
          <w:lang w:eastAsia="es-ES"/>
        </w:rPr>
        <w:t>pero inoperante el motivo de inconformidad de la particular, pues no se localizó algún indicio de que exista alguna concesión a nombre de la persona señalada en la solicitud, en el año dos mil trece, por lo que consideró procedente confirmar la respuesta otorgada por la Secretaría de Movilidad.</w:t>
      </w:r>
    </w:p>
    <w:p w:rsidR="002756DC" w:rsidRPr="005D3F2D" w:rsidRDefault="002756DC" w:rsidP="000F1A2E">
      <w:pPr>
        <w:spacing w:line="360" w:lineRule="auto"/>
        <w:ind w:right="-93"/>
        <w:jc w:val="both"/>
        <w:rPr>
          <w:rFonts w:ascii="Palatino Linotype" w:hAnsi="Palatino Linotype"/>
        </w:rPr>
      </w:pPr>
      <w:r w:rsidRPr="005D3F2D">
        <w:rPr>
          <w:rFonts w:ascii="Palatino Linotype" w:hAnsi="Palatino Linotype"/>
        </w:rPr>
        <w:t xml:space="preserve">De lo expuesto, se advierte que si bien el Sujeto </w:t>
      </w:r>
      <w:r w:rsidR="004B2E72" w:rsidRPr="005D3F2D">
        <w:rPr>
          <w:rFonts w:ascii="Palatino Linotype" w:hAnsi="Palatino Linotype"/>
        </w:rPr>
        <w:t xml:space="preserve">Obligado realizó la búsqueda de la información solicitada </w:t>
      </w:r>
      <w:r w:rsidR="00780DA7" w:rsidRPr="005D3F2D">
        <w:rPr>
          <w:rFonts w:ascii="Palatino Linotype" w:hAnsi="Palatino Linotype"/>
        </w:rPr>
        <w:t xml:space="preserve">a partir del parámetro </w:t>
      </w:r>
      <w:r w:rsidR="000F1A2E" w:rsidRPr="005D3F2D">
        <w:rPr>
          <w:rFonts w:ascii="Palatino Linotype" w:hAnsi="Palatino Linotype"/>
        </w:rPr>
        <w:t>“</w:t>
      </w:r>
      <w:r w:rsidR="00780DA7" w:rsidRPr="005D3F2D">
        <w:rPr>
          <w:rFonts w:ascii="Palatino Linotype" w:hAnsi="Palatino Linotype"/>
        </w:rPr>
        <w:t xml:space="preserve">nombre del titular </w:t>
      </w:r>
      <w:r w:rsidR="000F1A2E" w:rsidRPr="005D3F2D">
        <w:rPr>
          <w:rFonts w:ascii="Palatino Linotype" w:hAnsi="Palatino Linotype"/>
        </w:rPr>
        <w:t xml:space="preserve">o propietario”, lo cierto es que sólo </w:t>
      </w:r>
      <w:r w:rsidR="002715EA" w:rsidRPr="005D3F2D">
        <w:rPr>
          <w:rFonts w:ascii="Palatino Linotype" w:hAnsi="Palatino Linotype"/>
        </w:rPr>
        <w:t>indagó en el sistema digital de</w:t>
      </w:r>
      <w:r w:rsidRPr="005D3F2D">
        <w:rPr>
          <w:rFonts w:ascii="Palatino Linotype" w:hAnsi="Palatino Linotype"/>
        </w:rPr>
        <w:t xml:space="preserve"> su </w:t>
      </w:r>
      <w:r w:rsidR="002715EA" w:rsidRPr="005D3F2D">
        <w:rPr>
          <w:rFonts w:ascii="Palatino Linotype" w:hAnsi="Palatino Linotype"/>
        </w:rPr>
        <w:t>página electrónica</w:t>
      </w:r>
      <w:r w:rsidRPr="005D3F2D">
        <w:rPr>
          <w:rFonts w:ascii="Palatino Linotype" w:hAnsi="Palatino Linotype"/>
        </w:rPr>
        <w:t xml:space="preserve">. </w:t>
      </w:r>
    </w:p>
    <w:p w:rsidR="002756DC" w:rsidRPr="005D3F2D" w:rsidRDefault="002756DC" w:rsidP="000F1A2E">
      <w:pPr>
        <w:spacing w:line="360" w:lineRule="auto"/>
        <w:ind w:right="-93"/>
        <w:jc w:val="both"/>
        <w:rPr>
          <w:rFonts w:ascii="Palatino Linotype" w:hAnsi="Palatino Linotype"/>
        </w:rPr>
      </w:pPr>
      <w:r w:rsidRPr="005D3F2D">
        <w:rPr>
          <w:rFonts w:ascii="Palatino Linotype" w:hAnsi="Palatino Linotype"/>
        </w:rPr>
        <w:t xml:space="preserve"> Sin embargo, conforme a</w:t>
      </w:r>
      <w:r w:rsidR="00E5148C" w:rsidRPr="005D3F2D">
        <w:rPr>
          <w:rFonts w:ascii="Palatino Linotype" w:hAnsi="Palatino Linotype"/>
        </w:rPr>
        <w:t xml:space="preserve"> lo previsto en </w:t>
      </w:r>
      <w:r w:rsidR="00F45905" w:rsidRPr="005D3F2D">
        <w:rPr>
          <w:rFonts w:ascii="Palatino Linotype" w:hAnsi="Palatino Linotype"/>
        </w:rPr>
        <w:t>los artículos 1</w:t>
      </w:r>
      <w:r w:rsidR="00AF7CC4" w:rsidRPr="005D3F2D">
        <w:rPr>
          <w:rFonts w:ascii="Palatino Linotype" w:hAnsi="Palatino Linotype"/>
        </w:rPr>
        <w:t xml:space="preserve">, </w:t>
      </w:r>
      <w:r w:rsidR="00F45905" w:rsidRPr="005D3F2D">
        <w:rPr>
          <w:rFonts w:ascii="Palatino Linotype" w:hAnsi="Palatino Linotype"/>
        </w:rPr>
        <w:t>2</w:t>
      </w:r>
      <w:r w:rsidR="00AF7CC4" w:rsidRPr="005D3F2D">
        <w:rPr>
          <w:rFonts w:ascii="Palatino Linotype" w:hAnsi="Palatino Linotype"/>
        </w:rPr>
        <w:t xml:space="preserve"> y 4</w:t>
      </w:r>
      <w:r w:rsidR="00F45905" w:rsidRPr="005D3F2D">
        <w:rPr>
          <w:rFonts w:ascii="Palatino Linotype" w:hAnsi="Palatino Linotype"/>
        </w:rPr>
        <w:t xml:space="preserve"> de </w:t>
      </w:r>
      <w:r w:rsidR="00E5148C" w:rsidRPr="005D3F2D">
        <w:rPr>
          <w:rFonts w:ascii="Palatino Linotype" w:hAnsi="Palatino Linotype"/>
        </w:rPr>
        <w:t>la “Ley de Documentos Administrativos e Históricos del Estado De México”</w:t>
      </w:r>
      <w:r w:rsidR="00E5148C" w:rsidRPr="005D3F2D">
        <w:rPr>
          <w:rStyle w:val="Refdenotaalpie"/>
          <w:rFonts w:ascii="Palatino Linotype" w:hAnsi="Palatino Linotype"/>
        </w:rPr>
        <w:footnoteReference w:id="1"/>
      </w:r>
      <w:r w:rsidR="00E5148C" w:rsidRPr="005D3F2D">
        <w:rPr>
          <w:rFonts w:ascii="Palatino Linotype" w:hAnsi="Palatino Linotype"/>
        </w:rPr>
        <w:t xml:space="preserve">, </w:t>
      </w:r>
      <w:r w:rsidR="00F45905" w:rsidRPr="005D3F2D">
        <w:rPr>
          <w:rFonts w:ascii="Palatino Linotype" w:hAnsi="Palatino Linotype"/>
        </w:rPr>
        <w:t xml:space="preserve">las autoridades del Estado, deberán llevar a cabo la administración de sus documentos, </w:t>
      </w:r>
      <w:r w:rsidR="00AF7CC4" w:rsidRPr="005D3F2D">
        <w:rPr>
          <w:rFonts w:ascii="Palatino Linotype" w:hAnsi="Palatino Linotype"/>
        </w:rPr>
        <w:t xml:space="preserve">entendiendo por  ésta </w:t>
      </w:r>
      <w:r w:rsidR="00AF7CC4" w:rsidRPr="005D3F2D">
        <w:rPr>
          <w:rFonts w:ascii="Palatino Linotype" w:hAnsi="Palatino Linotype"/>
          <w:i/>
        </w:rPr>
        <w:t>“Los actos tendientes a inventariar, regular, coordinar y dinamizar el funcionamiento y uso de los documentos existentes en los Archivos Administrativos e Históricos de los Poderes del Estado, Municipios y Organismos Auxiliares y en su caso, los que posean particulares.</w:t>
      </w:r>
      <w:r w:rsidR="00AF7CC4" w:rsidRPr="005D3F2D">
        <w:rPr>
          <w:rFonts w:ascii="Palatino Linotype" w:hAnsi="Palatino Linotype"/>
        </w:rPr>
        <w:t>”</w:t>
      </w:r>
    </w:p>
    <w:p w:rsidR="00AF7CC4" w:rsidRPr="005D3F2D" w:rsidRDefault="00AF7CC4" w:rsidP="000F1A2E">
      <w:pPr>
        <w:spacing w:line="360" w:lineRule="auto"/>
        <w:ind w:right="-93"/>
        <w:jc w:val="both"/>
        <w:rPr>
          <w:rFonts w:ascii="Palatino Linotype" w:hAnsi="Palatino Linotype"/>
        </w:rPr>
      </w:pPr>
      <w:r w:rsidRPr="005D3F2D">
        <w:rPr>
          <w:rFonts w:ascii="Palatino Linotype" w:hAnsi="Palatino Linotype"/>
        </w:rPr>
        <w:lastRenderedPageBreak/>
        <w:t xml:space="preserve">Asimismo, todo documento que realicen los servidores públicos, deberá depositarse en los archivos de trámite correspondientes o en instrumentos tecnológicos que permitan la conservación de documentos electrónicos, conforme a las disposiciones normativas aplicables. </w:t>
      </w:r>
    </w:p>
    <w:p w:rsidR="00244F5E" w:rsidRPr="005D3F2D" w:rsidRDefault="00AF7CC4" w:rsidP="000F1A2E">
      <w:pPr>
        <w:spacing w:line="360" w:lineRule="auto"/>
        <w:ind w:right="-93"/>
        <w:jc w:val="both"/>
        <w:rPr>
          <w:rFonts w:ascii="Palatino Linotype" w:hAnsi="Palatino Linotype"/>
        </w:rPr>
      </w:pPr>
      <w:r w:rsidRPr="005D3F2D">
        <w:rPr>
          <w:rFonts w:ascii="Palatino Linotype" w:hAnsi="Palatino Linotype"/>
        </w:rPr>
        <w:t xml:space="preserve">De lo anterior, se colige </w:t>
      </w:r>
      <w:r w:rsidR="008C3D9C" w:rsidRPr="005D3F2D">
        <w:rPr>
          <w:rFonts w:ascii="Palatino Linotype" w:hAnsi="Palatino Linotype"/>
        </w:rPr>
        <w:t>la obligación a cargo del S</w:t>
      </w:r>
      <w:r w:rsidRPr="005D3F2D">
        <w:rPr>
          <w:rFonts w:ascii="Palatino Linotype" w:hAnsi="Palatino Linotype"/>
        </w:rPr>
        <w:t>ujeto Obligado</w:t>
      </w:r>
      <w:r w:rsidR="008C3D9C" w:rsidRPr="005D3F2D">
        <w:rPr>
          <w:rFonts w:ascii="Palatino Linotype" w:hAnsi="Palatino Linotype"/>
        </w:rPr>
        <w:t xml:space="preserve"> de administrar los documentos que en el ejercicio de sus funciones haya generado, y en su caso, inventariarlos y llevar el control de éstos, advirtiendo de los numerales transcritos, la existencia </w:t>
      </w:r>
      <w:r w:rsidR="00746F7F">
        <w:rPr>
          <w:rFonts w:ascii="Palatino Linotype" w:hAnsi="Palatino Linotype"/>
        </w:rPr>
        <w:t xml:space="preserve"> de </w:t>
      </w:r>
      <w:r w:rsidR="008C3D9C" w:rsidRPr="005D3F2D">
        <w:rPr>
          <w:rFonts w:ascii="Palatino Linotype" w:hAnsi="Palatino Linotype"/>
        </w:rPr>
        <w:t>archivos administrativos, históricos, de trámite, entre otros.</w:t>
      </w:r>
    </w:p>
    <w:p w:rsidR="00837230" w:rsidRPr="005D3F2D" w:rsidRDefault="00244F5E" w:rsidP="000F1A2E">
      <w:pPr>
        <w:spacing w:line="360" w:lineRule="auto"/>
        <w:ind w:right="-93"/>
        <w:jc w:val="both"/>
        <w:rPr>
          <w:rFonts w:ascii="Palatino Linotype" w:hAnsi="Palatino Linotype"/>
        </w:rPr>
      </w:pPr>
      <w:r w:rsidRPr="005D3F2D">
        <w:rPr>
          <w:rFonts w:ascii="Palatino Linotype" w:hAnsi="Palatino Linotype"/>
        </w:rPr>
        <w:t xml:space="preserve">Por lo tanto, si </w:t>
      </w:r>
      <w:r w:rsidR="00837230" w:rsidRPr="005D3F2D">
        <w:rPr>
          <w:rFonts w:ascii="Palatino Linotype" w:hAnsi="Palatino Linotype"/>
        </w:rPr>
        <w:t xml:space="preserve">bien </w:t>
      </w:r>
      <w:r w:rsidRPr="005D3F2D">
        <w:rPr>
          <w:rFonts w:ascii="Palatino Linotype" w:hAnsi="Palatino Linotype"/>
        </w:rPr>
        <w:t>el Sujeto Obligado buscó la información solicitada en el sistema digital de su página electrónica,</w:t>
      </w:r>
      <w:r w:rsidR="00837230" w:rsidRPr="005D3F2D">
        <w:rPr>
          <w:rFonts w:ascii="Palatino Linotype" w:hAnsi="Palatino Linotype"/>
        </w:rPr>
        <w:t xml:space="preserve"> lo cierto es que omitió realizar la búsqueda en sus archivos documentales o administrativos</w:t>
      </w:r>
      <w:r w:rsidR="00746F7F">
        <w:rPr>
          <w:rFonts w:ascii="Palatino Linotype" w:hAnsi="Palatino Linotype"/>
        </w:rPr>
        <w:t xml:space="preserve">, entre otros, </w:t>
      </w:r>
      <w:r w:rsidR="00837230" w:rsidRPr="005D3F2D">
        <w:rPr>
          <w:rFonts w:ascii="Palatino Linotype" w:hAnsi="Palatino Linotype"/>
        </w:rPr>
        <w:t xml:space="preserve">previstos en la Ley de Documentos Administrativos </w:t>
      </w:r>
      <w:proofErr w:type="spellStart"/>
      <w:r w:rsidR="00837230" w:rsidRPr="005D3F2D">
        <w:rPr>
          <w:rFonts w:ascii="Palatino Linotype" w:hAnsi="Palatino Linotype"/>
        </w:rPr>
        <w:t>supraindicada</w:t>
      </w:r>
      <w:proofErr w:type="spellEnd"/>
      <w:r w:rsidR="00837230" w:rsidRPr="005D3F2D">
        <w:rPr>
          <w:rFonts w:ascii="Palatino Linotype" w:hAnsi="Palatino Linotype"/>
        </w:rPr>
        <w:t>, búsqueda que era</w:t>
      </w:r>
      <w:r w:rsidR="00D85F7B" w:rsidRPr="005D3F2D">
        <w:rPr>
          <w:rFonts w:ascii="Palatino Linotype" w:hAnsi="Palatino Linotype"/>
        </w:rPr>
        <w:t xml:space="preserve"> obligada</w:t>
      </w:r>
      <w:r w:rsidR="00837230" w:rsidRPr="005D3F2D">
        <w:rPr>
          <w:rFonts w:ascii="Palatino Linotype" w:hAnsi="Palatino Linotype"/>
        </w:rPr>
        <w:t xml:space="preserve"> en atención a</w:t>
      </w:r>
      <w:r w:rsidR="00D85F7B" w:rsidRPr="005D3F2D">
        <w:rPr>
          <w:rFonts w:ascii="Palatino Linotype" w:hAnsi="Palatino Linotype"/>
        </w:rPr>
        <w:t xml:space="preserve"> los </w:t>
      </w:r>
      <w:r w:rsidR="00837230" w:rsidRPr="005D3F2D">
        <w:rPr>
          <w:rFonts w:ascii="Palatino Linotype" w:hAnsi="Palatino Linotype"/>
        </w:rPr>
        <w:t>principio</w:t>
      </w:r>
      <w:r w:rsidR="00D85F7B" w:rsidRPr="005D3F2D">
        <w:rPr>
          <w:rFonts w:ascii="Palatino Linotype" w:hAnsi="Palatino Linotype"/>
        </w:rPr>
        <w:t>s</w:t>
      </w:r>
      <w:r w:rsidR="00837230" w:rsidRPr="005D3F2D">
        <w:rPr>
          <w:rFonts w:ascii="Palatino Linotype" w:hAnsi="Palatino Linotype"/>
        </w:rPr>
        <w:t xml:space="preserve"> de máxima publicidad</w:t>
      </w:r>
      <w:r w:rsidR="00D85F7B" w:rsidRPr="005D3F2D">
        <w:rPr>
          <w:rFonts w:ascii="Palatino Linotype" w:hAnsi="Palatino Linotype"/>
        </w:rPr>
        <w:t xml:space="preserve"> y certeza, </w:t>
      </w:r>
      <w:r w:rsidR="00837230" w:rsidRPr="005D3F2D">
        <w:rPr>
          <w:rFonts w:ascii="Palatino Linotype" w:hAnsi="Palatino Linotype"/>
        </w:rPr>
        <w:t>toda vez que la información solicitada corresponde al año 201</w:t>
      </w:r>
      <w:r w:rsidR="00D85F7B" w:rsidRPr="005D3F2D">
        <w:rPr>
          <w:rFonts w:ascii="Palatino Linotype" w:hAnsi="Palatino Linotype"/>
        </w:rPr>
        <w:t>3, lo cual tiene sustento en lo dispuesto en los artículos 9, fracciones I y VII; 11</w:t>
      </w:r>
      <w:r w:rsidR="00695683" w:rsidRPr="005D3F2D">
        <w:rPr>
          <w:rFonts w:ascii="Palatino Linotype" w:hAnsi="Palatino Linotype"/>
        </w:rPr>
        <w:t>, párrafo primero</w:t>
      </w:r>
      <w:r w:rsidR="00D85F7B" w:rsidRPr="005D3F2D">
        <w:rPr>
          <w:rFonts w:ascii="Palatino Linotype" w:hAnsi="Palatino Linotype"/>
        </w:rPr>
        <w:t xml:space="preserve"> y 160</w:t>
      </w:r>
      <w:r w:rsidR="00746F7F">
        <w:rPr>
          <w:rFonts w:ascii="Palatino Linotype" w:hAnsi="Palatino Linotype"/>
        </w:rPr>
        <w:t xml:space="preserve">, primer párrafo </w:t>
      </w:r>
      <w:r w:rsidR="00D85F7B" w:rsidRPr="005D3F2D">
        <w:rPr>
          <w:rFonts w:ascii="Palatino Linotype" w:hAnsi="Palatino Linotype"/>
        </w:rPr>
        <w:t>de la Ley de Transparencia y Acceso a la Información Pública vigente en la entidad, que disponen:</w:t>
      </w:r>
    </w:p>
    <w:p w:rsidR="00D85F7B" w:rsidRPr="005D3F2D" w:rsidRDefault="00695683" w:rsidP="00695683">
      <w:pPr>
        <w:spacing w:after="0" w:line="240" w:lineRule="auto"/>
        <w:ind w:left="851" w:right="902"/>
        <w:jc w:val="both"/>
        <w:rPr>
          <w:rFonts w:ascii="Palatino Linotype" w:hAnsi="Palatino Linotype"/>
          <w:i/>
        </w:rPr>
      </w:pPr>
      <w:r w:rsidRPr="005D3F2D">
        <w:rPr>
          <w:rFonts w:ascii="Palatino Linotype" w:hAnsi="Palatino Linotype"/>
          <w:i/>
        </w:rPr>
        <w:t>“</w:t>
      </w:r>
      <w:r w:rsidRPr="005D3F2D">
        <w:rPr>
          <w:rFonts w:ascii="Palatino Linotype" w:hAnsi="Palatino Linotype"/>
          <w:b/>
          <w:i/>
        </w:rPr>
        <w:t>Artículo 9.</w:t>
      </w:r>
      <w:r w:rsidRPr="005D3F2D">
        <w:rPr>
          <w:rFonts w:ascii="Palatino Linotype" w:hAnsi="Palatino Linotype"/>
          <w:i/>
        </w:rPr>
        <w:t xml:space="preserve"> El Instituto deberá regir su funcionamiento de acuerdo a los siguientes principios:</w:t>
      </w:r>
    </w:p>
    <w:p w:rsidR="00695683" w:rsidRPr="005D3F2D" w:rsidRDefault="00695683" w:rsidP="00695683">
      <w:pPr>
        <w:spacing w:after="0" w:line="240" w:lineRule="auto"/>
        <w:ind w:left="851" w:right="902"/>
        <w:jc w:val="both"/>
        <w:rPr>
          <w:rFonts w:ascii="Palatino Linotype" w:hAnsi="Palatino Linotype"/>
          <w:i/>
        </w:rPr>
      </w:pPr>
      <w:r w:rsidRPr="005D3F2D">
        <w:rPr>
          <w:rFonts w:ascii="Palatino Linotype" w:hAnsi="Palatino Linotype"/>
          <w:b/>
          <w:i/>
        </w:rPr>
        <w:t>I. Certeza:</w:t>
      </w:r>
      <w:r w:rsidRPr="005D3F2D">
        <w:rPr>
          <w:rFonts w:ascii="Palatino Linotype" w:hAnsi="Palatino Linotype"/>
          <w:i/>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p>
    <w:p w:rsidR="00695683" w:rsidRPr="005D3F2D" w:rsidRDefault="00695683" w:rsidP="00695683">
      <w:pPr>
        <w:spacing w:after="0" w:line="240" w:lineRule="auto"/>
        <w:ind w:left="851" w:right="902"/>
        <w:jc w:val="both"/>
        <w:rPr>
          <w:rFonts w:ascii="Palatino Linotype" w:hAnsi="Palatino Linotype"/>
          <w:i/>
        </w:rPr>
      </w:pPr>
      <w:r w:rsidRPr="005D3F2D">
        <w:rPr>
          <w:rFonts w:ascii="Palatino Linotype" w:hAnsi="Palatino Linotype"/>
          <w:i/>
        </w:rPr>
        <w:t>…</w:t>
      </w:r>
    </w:p>
    <w:p w:rsidR="00695683" w:rsidRPr="005D3F2D" w:rsidRDefault="00695683" w:rsidP="00695683">
      <w:pPr>
        <w:spacing w:after="0" w:line="240" w:lineRule="auto"/>
        <w:ind w:left="851" w:right="902"/>
        <w:jc w:val="both"/>
        <w:rPr>
          <w:rFonts w:ascii="Palatino Linotype" w:hAnsi="Palatino Linotype"/>
          <w:i/>
        </w:rPr>
      </w:pPr>
      <w:r w:rsidRPr="005D3F2D">
        <w:rPr>
          <w:rFonts w:ascii="Palatino Linotype" w:hAnsi="Palatino Linotype"/>
          <w:b/>
          <w:i/>
        </w:rPr>
        <w:t>VII. Máxima Publicidad</w:t>
      </w:r>
      <w:r w:rsidRPr="005D3F2D">
        <w:rPr>
          <w:rFonts w:ascii="Palatino Linotype" w:hAnsi="Palatino Linotype"/>
          <w:i/>
        </w:rPr>
        <w:t>: Toda la información en posesión de los sujetos obligados será pública, completa, oportuna y accesible, sujeta a un claro régimen de excepciones que deberán estar definidas y ser además legítimas y estrictamente necesarias en una sociedad democrática;</w:t>
      </w:r>
    </w:p>
    <w:p w:rsidR="00695683" w:rsidRPr="005D3F2D" w:rsidRDefault="00695683" w:rsidP="00695683">
      <w:pPr>
        <w:spacing w:after="0" w:line="240" w:lineRule="auto"/>
        <w:ind w:left="851" w:right="902"/>
        <w:jc w:val="both"/>
        <w:rPr>
          <w:rFonts w:ascii="Palatino Linotype" w:hAnsi="Palatino Linotype"/>
          <w:i/>
        </w:rPr>
      </w:pPr>
      <w:r w:rsidRPr="005D3F2D">
        <w:rPr>
          <w:rFonts w:ascii="Palatino Linotype" w:hAnsi="Palatino Linotype"/>
          <w:i/>
        </w:rPr>
        <w:lastRenderedPageBreak/>
        <w:t>…”</w:t>
      </w:r>
    </w:p>
    <w:p w:rsidR="00695683" w:rsidRPr="005D3F2D" w:rsidRDefault="00695683" w:rsidP="00695683">
      <w:pPr>
        <w:spacing w:after="0" w:line="240" w:lineRule="auto"/>
        <w:ind w:left="851" w:right="902"/>
        <w:jc w:val="both"/>
        <w:rPr>
          <w:rFonts w:ascii="Palatino Linotype" w:hAnsi="Palatino Linotype"/>
          <w:i/>
        </w:rPr>
      </w:pPr>
    </w:p>
    <w:p w:rsidR="00695683" w:rsidRPr="005D3F2D" w:rsidRDefault="00695683" w:rsidP="00695683">
      <w:pPr>
        <w:spacing w:after="0" w:line="240" w:lineRule="auto"/>
        <w:ind w:left="851" w:right="902"/>
        <w:jc w:val="both"/>
        <w:rPr>
          <w:rFonts w:ascii="Palatino Linotype" w:hAnsi="Palatino Linotype"/>
          <w:i/>
        </w:rPr>
      </w:pPr>
      <w:r w:rsidRPr="005D3F2D">
        <w:rPr>
          <w:rFonts w:ascii="Palatino Linotype" w:hAnsi="Palatino Linotype"/>
          <w:i/>
        </w:rPr>
        <w:t>“</w:t>
      </w:r>
      <w:r w:rsidRPr="005D3F2D">
        <w:rPr>
          <w:rFonts w:ascii="Palatino Linotype" w:hAnsi="Palatino Linotype"/>
          <w:b/>
          <w:i/>
        </w:rPr>
        <w:t>Artículo 11.</w:t>
      </w:r>
      <w:r w:rsidRPr="005D3F2D">
        <w:rPr>
          <w:rFonts w:ascii="Palatino Linotype" w:hAnsi="Palatino Linotype"/>
          <w:i/>
        </w:rPr>
        <w:t xml:space="preserv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rsidR="00695683" w:rsidRPr="005D3F2D" w:rsidRDefault="00695683" w:rsidP="00695683">
      <w:pPr>
        <w:spacing w:after="0" w:line="240" w:lineRule="auto"/>
        <w:ind w:left="851" w:right="902"/>
        <w:jc w:val="both"/>
        <w:rPr>
          <w:rFonts w:ascii="Palatino Linotype" w:hAnsi="Palatino Linotype"/>
          <w:i/>
        </w:rPr>
      </w:pPr>
      <w:r w:rsidRPr="005D3F2D">
        <w:rPr>
          <w:rFonts w:ascii="Palatino Linotype" w:hAnsi="Palatino Linotype"/>
          <w:i/>
        </w:rPr>
        <w:t>…”</w:t>
      </w:r>
    </w:p>
    <w:p w:rsidR="00695683" w:rsidRPr="005D3F2D" w:rsidRDefault="00695683" w:rsidP="00695683">
      <w:pPr>
        <w:spacing w:after="0" w:line="240" w:lineRule="auto"/>
        <w:ind w:left="851" w:right="902"/>
        <w:jc w:val="both"/>
        <w:rPr>
          <w:rFonts w:ascii="Palatino Linotype" w:hAnsi="Palatino Linotype"/>
          <w:i/>
        </w:rPr>
      </w:pPr>
    </w:p>
    <w:p w:rsidR="00695683" w:rsidRPr="005D3F2D" w:rsidRDefault="00695683" w:rsidP="00695683">
      <w:pPr>
        <w:spacing w:after="0" w:line="240" w:lineRule="auto"/>
        <w:ind w:left="851" w:right="902"/>
        <w:jc w:val="both"/>
        <w:rPr>
          <w:rFonts w:ascii="Palatino Linotype" w:hAnsi="Palatino Linotype"/>
          <w:i/>
        </w:rPr>
      </w:pPr>
      <w:r w:rsidRPr="005D3F2D">
        <w:rPr>
          <w:rFonts w:ascii="Palatino Linotype" w:hAnsi="Palatino Linotype"/>
          <w:i/>
        </w:rPr>
        <w:t>“</w:t>
      </w:r>
      <w:r w:rsidRPr="005D3F2D">
        <w:rPr>
          <w:rFonts w:ascii="Palatino Linotype" w:hAnsi="Palatino Linotype"/>
          <w:b/>
          <w:i/>
        </w:rPr>
        <w:t>Artículo 160</w:t>
      </w:r>
      <w:r w:rsidRPr="005D3F2D">
        <w:rPr>
          <w:rFonts w:ascii="Palatino Linotype" w:hAnsi="Palatino Linotype"/>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
    <w:p w:rsidR="00695683" w:rsidRPr="005D3F2D" w:rsidRDefault="00695683" w:rsidP="00695683">
      <w:pPr>
        <w:spacing w:after="0" w:line="240" w:lineRule="auto"/>
        <w:ind w:left="851" w:right="902"/>
        <w:jc w:val="both"/>
        <w:rPr>
          <w:rFonts w:ascii="Palatino Linotype" w:hAnsi="Palatino Linotype"/>
          <w:i/>
        </w:rPr>
      </w:pPr>
      <w:r w:rsidRPr="005D3F2D">
        <w:rPr>
          <w:rFonts w:ascii="Palatino Linotype" w:hAnsi="Palatino Linotype"/>
          <w:i/>
        </w:rPr>
        <w:t xml:space="preserve"> </w:t>
      </w:r>
    </w:p>
    <w:p w:rsidR="00695683" w:rsidRPr="005D3F2D" w:rsidRDefault="00695683" w:rsidP="00695683">
      <w:pPr>
        <w:spacing w:after="0" w:line="240" w:lineRule="auto"/>
        <w:ind w:left="851" w:right="902"/>
        <w:jc w:val="both"/>
        <w:rPr>
          <w:rFonts w:ascii="Palatino Linotype" w:hAnsi="Palatino Linotype"/>
          <w:i/>
        </w:rPr>
      </w:pPr>
      <w:r w:rsidRPr="005D3F2D">
        <w:rPr>
          <w:rFonts w:ascii="Palatino Linotype" w:hAnsi="Palatino Linotype"/>
          <w:i/>
        </w:rPr>
        <w:t xml:space="preserve">…” </w:t>
      </w:r>
    </w:p>
    <w:p w:rsidR="005D3F2D" w:rsidRPr="005D3F2D" w:rsidRDefault="005D3F2D" w:rsidP="005D3F2D">
      <w:pPr>
        <w:spacing w:after="0" w:line="240" w:lineRule="auto"/>
        <w:ind w:right="-91"/>
        <w:jc w:val="both"/>
        <w:rPr>
          <w:rFonts w:ascii="Palatino Linotype" w:hAnsi="Palatino Linotype"/>
          <w:sz w:val="16"/>
          <w:szCs w:val="16"/>
        </w:rPr>
      </w:pPr>
    </w:p>
    <w:p w:rsidR="001860B8" w:rsidRPr="005D3F2D" w:rsidRDefault="001860B8" w:rsidP="000F1A2E">
      <w:pPr>
        <w:spacing w:line="360" w:lineRule="auto"/>
        <w:ind w:right="-93"/>
        <w:jc w:val="both"/>
        <w:rPr>
          <w:rFonts w:ascii="Palatino Linotype" w:hAnsi="Palatino Linotype"/>
        </w:rPr>
      </w:pPr>
      <w:r w:rsidRPr="005D3F2D">
        <w:rPr>
          <w:rFonts w:ascii="Palatino Linotype" w:hAnsi="Palatino Linotype"/>
        </w:rPr>
        <w:t xml:space="preserve">Lo anterior, son razones suficientes para la emisión y presentación del presente Voto Particular relacionado con la resolución del recurso de revisión referido.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tblGrid>
      <w:tr w:rsidR="008775F5" w:rsidRPr="005D3F2D" w:rsidTr="00816290">
        <w:trPr>
          <w:trHeight w:val="809"/>
          <w:jc w:val="center"/>
        </w:trPr>
        <w:tc>
          <w:tcPr>
            <w:tcW w:w="4396" w:type="dxa"/>
          </w:tcPr>
          <w:p w:rsidR="008775F5" w:rsidRPr="005D3F2D" w:rsidRDefault="008775F5" w:rsidP="002301FA">
            <w:pPr>
              <w:jc w:val="center"/>
              <w:rPr>
                <w:rFonts w:ascii="Palatino Linotype" w:hAnsi="Palatino Linotype"/>
                <w:b/>
              </w:rPr>
            </w:pPr>
          </w:p>
          <w:p w:rsidR="002301FA" w:rsidRPr="005D3F2D" w:rsidRDefault="002301FA" w:rsidP="002301FA">
            <w:pPr>
              <w:jc w:val="center"/>
              <w:rPr>
                <w:rFonts w:ascii="Palatino Linotype" w:hAnsi="Palatino Linotype"/>
                <w:b/>
              </w:rPr>
            </w:pPr>
          </w:p>
          <w:p w:rsidR="008322EE" w:rsidRPr="005D3F2D" w:rsidRDefault="008322EE" w:rsidP="008322EE">
            <w:pPr>
              <w:rPr>
                <w:rFonts w:ascii="Palatino Linotype" w:hAnsi="Palatino Linotype"/>
                <w:b/>
              </w:rPr>
            </w:pPr>
          </w:p>
          <w:p w:rsidR="004C4FC6" w:rsidRPr="005D3F2D" w:rsidRDefault="004C4FC6" w:rsidP="002301FA">
            <w:pPr>
              <w:jc w:val="center"/>
              <w:rPr>
                <w:rFonts w:ascii="Palatino Linotype" w:hAnsi="Palatino Linotype"/>
                <w:b/>
              </w:rPr>
            </w:pPr>
          </w:p>
          <w:p w:rsidR="004C4FC6" w:rsidRPr="005D3F2D" w:rsidRDefault="004C4FC6" w:rsidP="002301FA">
            <w:pPr>
              <w:jc w:val="center"/>
              <w:rPr>
                <w:rFonts w:ascii="Palatino Linotype" w:hAnsi="Palatino Linotype"/>
                <w:b/>
              </w:rPr>
            </w:pPr>
          </w:p>
          <w:p w:rsidR="008775F5" w:rsidRPr="005D3F2D" w:rsidRDefault="008775F5" w:rsidP="002301FA">
            <w:pPr>
              <w:jc w:val="center"/>
              <w:rPr>
                <w:rFonts w:ascii="Palatino Linotype" w:hAnsi="Palatino Linotype"/>
                <w:b/>
              </w:rPr>
            </w:pPr>
            <w:r w:rsidRPr="005D3F2D">
              <w:rPr>
                <w:rFonts w:ascii="Palatino Linotype" w:hAnsi="Palatino Linotype"/>
                <w:b/>
              </w:rPr>
              <w:t>Javier Martínez Cruz</w:t>
            </w:r>
          </w:p>
        </w:tc>
      </w:tr>
      <w:tr w:rsidR="008775F5" w:rsidRPr="005D3F2D" w:rsidTr="00816290">
        <w:trPr>
          <w:trHeight w:val="319"/>
          <w:jc w:val="center"/>
        </w:trPr>
        <w:tc>
          <w:tcPr>
            <w:tcW w:w="4396" w:type="dxa"/>
          </w:tcPr>
          <w:p w:rsidR="00050203" w:rsidRPr="005D3F2D" w:rsidRDefault="008775F5" w:rsidP="000F26F0">
            <w:pPr>
              <w:jc w:val="center"/>
              <w:rPr>
                <w:rFonts w:ascii="Palatino Linotype" w:hAnsi="Palatino Linotype"/>
                <w:b/>
              </w:rPr>
            </w:pPr>
            <w:r w:rsidRPr="005D3F2D">
              <w:rPr>
                <w:rFonts w:ascii="Palatino Linotype" w:hAnsi="Palatino Linotype"/>
                <w:b/>
              </w:rPr>
              <w:t>Comisionado</w:t>
            </w:r>
          </w:p>
          <w:p w:rsidR="004C4FC6" w:rsidRPr="00855AA5" w:rsidRDefault="00855AA5" w:rsidP="000F26F0">
            <w:pPr>
              <w:jc w:val="center"/>
              <w:rPr>
                <w:rFonts w:ascii="Palatino Linotype" w:hAnsi="Palatino Linotype"/>
                <w:b/>
              </w:rPr>
            </w:pPr>
            <w:r w:rsidRPr="00855AA5">
              <w:rPr>
                <w:rFonts w:ascii="Palatino Linotype" w:hAnsi="Palatino Linotype"/>
                <w:b/>
              </w:rPr>
              <w:t>(Rúbrica)</w:t>
            </w:r>
          </w:p>
        </w:tc>
      </w:tr>
    </w:tbl>
    <w:p w:rsidR="00056BA4" w:rsidRPr="005D3F2D" w:rsidRDefault="00056BA4" w:rsidP="00650E2C">
      <w:pPr>
        <w:spacing w:after="0" w:line="240" w:lineRule="auto"/>
        <w:jc w:val="both"/>
        <w:rPr>
          <w:rFonts w:ascii="Palatino Linotype" w:hAnsi="Palatino Linotype" w:cs="Arial"/>
        </w:rPr>
      </w:pPr>
      <w:bookmarkStart w:id="0" w:name="_GoBack"/>
      <w:bookmarkEnd w:id="0"/>
    </w:p>
    <w:sectPr w:rsidR="00056BA4" w:rsidRPr="005D3F2D" w:rsidSect="000D43CC">
      <w:headerReference w:type="even" r:id="rId8"/>
      <w:headerReference w:type="default" r:id="rId9"/>
      <w:footerReference w:type="default" r:id="rId10"/>
      <w:headerReference w:type="first" r:id="rId11"/>
      <w:pgSz w:w="12240" w:h="15840"/>
      <w:pgMar w:top="1276" w:right="1701" w:bottom="2410" w:left="1701" w:header="709"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61F" w:rsidRDefault="00C8661F" w:rsidP="004E7F5E">
      <w:pPr>
        <w:spacing w:after="0" w:line="240" w:lineRule="auto"/>
      </w:pPr>
      <w:r>
        <w:separator/>
      </w:r>
    </w:p>
  </w:endnote>
  <w:endnote w:type="continuationSeparator" w:id="0">
    <w:p w:rsidR="00C8661F" w:rsidRDefault="00C8661F" w:rsidP="004E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8C6" w:rsidRPr="00986599" w:rsidRDefault="006558C6" w:rsidP="006558C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55AA5">
      <w:rPr>
        <w:rFonts w:ascii="Arial" w:hAnsi="Arial" w:cs="Arial"/>
        <w:b/>
        <w:bCs/>
        <w:noProof/>
        <w:sz w:val="20"/>
        <w:szCs w:val="20"/>
      </w:rPr>
      <w:t>5</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55AA5">
      <w:rPr>
        <w:rFonts w:ascii="Arial" w:hAnsi="Arial" w:cs="Arial"/>
        <w:b/>
        <w:bCs/>
        <w:noProof/>
        <w:sz w:val="20"/>
        <w:szCs w:val="20"/>
      </w:rPr>
      <w:t>5</w:t>
    </w:r>
    <w:r w:rsidRPr="00986599">
      <w:rPr>
        <w:rFonts w:ascii="Arial" w:hAnsi="Arial" w:cs="Arial"/>
        <w:b/>
        <w:bCs/>
        <w:sz w:val="20"/>
        <w:szCs w:val="20"/>
      </w:rPr>
      <w:fldChar w:fldCharType="end"/>
    </w:r>
  </w:p>
  <w:p w:rsidR="006558C6" w:rsidRDefault="006558C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61F" w:rsidRDefault="00C8661F" w:rsidP="004E7F5E">
      <w:pPr>
        <w:spacing w:after="0" w:line="240" w:lineRule="auto"/>
      </w:pPr>
      <w:r>
        <w:separator/>
      </w:r>
    </w:p>
  </w:footnote>
  <w:footnote w:type="continuationSeparator" w:id="0">
    <w:p w:rsidR="00C8661F" w:rsidRDefault="00C8661F" w:rsidP="004E7F5E">
      <w:pPr>
        <w:spacing w:after="0" w:line="240" w:lineRule="auto"/>
      </w:pPr>
      <w:r>
        <w:continuationSeparator/>
      </w:r>
    </w:p>
  </w:footnote>
  <w:footnote w:id="1">
    <w:p w:rsidR="00E5148C" w:rsidRDefault="00E5148C">
      <w:pPr>
        <w:pStyle w:val="Textonotapie"/>
      </w:pPr>
      <w:r>
        <w:rPr>
          <w:rStyle w:val="Refdenotaalpie"/>
        </w:rPr>
        <w:footnoteRef/>
      </w:r>
      <w:r>
        <w:t xml:space="preserve"> </w:t>
      </w:r>
      <w:r w:rsidRPr="00E5148C">
        <w:rPr>
          <w:rFonts w:ascii="Palatino Linotype" w:hAnsi="Palatino Linotype"/>
          <w:i/>
        </w:rPr>
        <w:t>Publicada en la Gaceta del Gobierno del Estado de México, el 24 de marzo de 1986.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C8661F">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0" o:spid="_x0000_s2057" type="#_x0000_t75" style="position:absolute;margin-left:0;margin-top:0;width:598.5pt;height:779.25pt;z-index:-251657216;mso-position-horizontal:center;mso-position-horizontal-relative:margin;mso-position-vertical:center;mso-position-vertical-relative:margin" o:allowincell="f">
          <v:imagedata r:id="rId1" o:title="fondo opinio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7E8" w:rsidRDefault="00C8661F" w:rsidP="00C46947">
    <w:pPr>
      <w:pStyle w:val="Encabezado"/>
      <w:jc w:val="right"/>
      <w:rPr>
        <w:rFonts w:ascii="Palatino Linotype" w:hAnsi="Palatino Linotype"/>
        <w:sz w:val="20"/>
        <w:szCs w:val="20"/>
      </w:rPr>
    </w:pPr>
    <w:r>
      <w:rPr>
        <w:rFonts w:ascii="Palatino Linotype" w:hAnsi="Palatino Linotype"/>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1" o:spid="_x0000_s2058" type="#_x0000_t75" style="position:absolute;left:0;text-align:left;margin-left:-80.15pt;margin-top:-114.85pt;width:598.5pt;height:779.25pt;z-index:-251656192;mso-position-horizontal-relative:margin;mso-position-vertical-relative:margin" o:allowincell="f">
          <v:imagedata r:id="rId1" o:title="fondo opinion particular"/>
          <w10:wrap anchorx="margin" anchory="margin"/>
        </v:shape>
      </w:pict>
    </w:r>
  </w:p>
  <w:p w:rsidR="00C46947" w:rsidRPr="0022313A" w:rsidRDefault="00D06490" w:rsidP="00C46947">
    <w:pPr>
      <w:pStyle w:val="Encabezado"/>
      <w:jc w:val="right"/>
      <w:rPr>
        <w:rFonts w:ascii="Palatino Linotype" w:hAnsi="Palatino Linotype"/>
        <w:b/>
        <w:sz w:val="20"/>
        <w:szCs w:val="20"/>
      </w:rPr>
    </w:pPr>
    <w:r w:rsidRPr="0022313A">
      <w:rPr>
        <w:rFonts w:ascii="Palatino Linotype" w:hAnsi="Palatino Linotype"/>
        <w:b/>
        <w:sz w:val="20"/>
        <w:szCs w:val="20"/>
      </w:rPr>
      <w:t>VOTO</w:t>
    </w:r>
    <w:r w:rsidR="00C46947" w:rsidRPr="0022313A">
      <w:rPr>
        <w:rFonts w:ascii="Palatino Linotype" w:hAnsi="Palatino Linotype"/>
        <w:b/>
        <w:sz w:val="20"/>
        <w:szCs w:val="20"/>
      </w:rPr>
      <w:t xml:space="preserve"> PARTICULAR</w:t>
    </w:r>
    <w:r w:rsidR="009A788D" w:rsidRPr="0022313A">
      <w:rPr>
        <w:rFonts w:ascii="Palatino Linotype" w:hAnsi="Palatino Linotype"/>
        <w:b/>
        <w:sz w:val="20"/>
        <w:szCs w:val="20"/>
      </w:rPr>
      <w:t xml:space="preserve"> </w:t>
    </w:r>
  </w:p>
  <w:p w:rsidR="00C46947" w:rsidRPr="0022313A" w:rsidRDefault="00C46947" w:rsidP="00C46947">
    <w:pPr>
      <w:pStyle w:val="Encabezado"/>
      <w:jc w:val="right"/>
      <w:rPr>
        <w:rFonts w:ascii="Palatino Linotype" w:hAnsi="Palatino Linotype"/>
        <w:b/>
        <w:sz w:val="20"/>
        <w:szCs w:val="20"/>
      </w:rPr>
    </w:pPr>
    <w:r w:rsidRPr="0022313A">
      <w:rPr>
        <w:rFonts w:ascii="Palatino Linotype" w:hAnsi="Palatino Linotype"/>
        <w:b/>
        <w:sz w:val="20"/>
        <w:szCs w:val="20"/>
      </w:rPr>
      <w:t xml:space="preserve">RECURSO DE REVISIÓN </w:t>
    </w:r>
    <w:r w:rsidR="00371AFE">
      <w:rPr>
        <w:rFonts w:ascii="Palatino Linotype" w:hAnsi="Palatino Linotype" w:cs="Arial"/>
        <w:b/>
        <w:bCs/>
        <w:sz w:val="20"/>
        <w:szCs w:val="20"/>
        <w:lang w:eastAsia="es-MX"/>
      </w:rPr>
      <w:t>03</w:t>
    </w:r>
    <w:r w:rsidR="00F935BE">
      <w:rPr>
        <w:rFonts w:ascii="Palatino Linotype" w:hAnsi="Palatino Linotype" w:cs="Arial"/>
        <w:b/>
        <w:bCs/>
        <w:sz w:val="20"/>
        <w:szCs w:val="20"/>
        <w:lang w:eastAsia="es-MX"/>
      </w:rPr>
      <w:t>676</w:t>
    </w:r>
    <w:r w:rsidRPr="0022313A">
      <w:rPr>
        <w:rFonts w:ascii="Palatino Linotype" w:hAnsi="Palatino Linotype" w:cs="Arial"/>
        <w:b/>
        <w:bCs/>
        <w:sz w:val="20"/>
        <w:szCs w:val="20"/>
        <w:lang w:eastAsia="es-MX"/>
      </w:rPr>
      <w:t>/INFOEM/IP</w:t>
    </w:r>
    <w:r w:rsidR="00D06490" w:rsidRPr="0022313A">
      <w:rPr>
        <w:rFonts w:ascii="Palatino Linotype" w:hAnsi="Palatino Linotype" w:cs="Arial"/>
        <w:b/>
        <w:bCs/>
        <w:sz w:val="20"/>
        <w:szCs w:val="20"/>
        <w:lang w:eastAsia="es-MX"/>
      </w:rPr>
      <w:t>/RR</w:t>
    </w:r>
    <w:r w:rsidR="007B3391" w:rsidRPr="0022313A">
      <w:rPr>
        <w:rFonts w:ascii="Palatino Linotype" w:hAnsi="Palatino Linotype" w:cs="Arial"/>
        <w:b/>
        <w:bCs/>
        <w:sz w:val="20"/>
        <w:szCs w:val="20"/>
        <w:lang w:eastAsia="es-MX"/>
      </w:rPr>
      <w:t>/2018</w:t>
    </w:r>
    <w:r w:rsidR="00B72322" w:rsidRPr="0022313A">
      <w:rPr>
        <w:rFonts w:ascii="Palatino Linotype" w:hAnsi="Palatino Linotype" w:cs="Arial"/>
        <w:b/>
        <w:bCs/>
        <w:sz w:val="20"/>
        <w:szCs w:val="20"/>
        <w:lang w:eastAsia="es-MX"/>
      </w:rPr>
      <w:t xml:space="preserve"> </w:t>
    </w:r>
  </w:p>
  <w:p w:rsidR="00F16BC6" w:rsidRPr="00C51F7E" w:rsidRDefault="00F16BC6" w:rsidP="00C51F7E">
    <w:pPr>
      <w:pStyle w:val="Encabezado"/>
      <w:jc w:val="right"/>
      <w:rPr>
        <w:rFonts w:ascii="Palatino Linotype" w:hAnsi="Palatino Linotype"/>
      </w:rPr>
    </w:pPr>
  </w:p>
  <w:p w:rsidR="00F16BC6" w:rsidRDefault="00F16BC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C8661F">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09" o:spid="_x0000_s2056" type="#_x0000_t75" style="position:absolute;margin-left:0;margin-top:0;width:598.5pt;height:779.25pt;z-index:-251658240;mso-position-horizontal:center;mso-position-horizontal-relative:margin;mso-position-vertical:center;mso-position-vertical-relative:margin" o:allowincell="f">
          <v:imagedata r:id="rId1" o:title="fondo opinio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C6D8C"/>
    <w:multiLevelType w:val="hybridMultilevel"/>
    <w:tmpl w:val="D24C5D6C"/>
    <w:lvl w:ilvl="0" w:tplc="080A000F">
      <w:start w:val="1"/>
      <w:numFmt w:val="decimal"/>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13E03753"/>
    <w:multiLevelType w:val="hybridMultilevel"/>
    <w:tmpl w:val="6A640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CA2312"/>
    <w:multiLevelType w:val="hybridMultilevel"/>
    <w:tmpl w:val="5204F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4204D4"/>
    <w:multiLevelType w:val="hybridMultilevel"/>
    <w:tmpl w:val="B9403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3C27198"/>
    <w:multiLevelType w:val="hybridMultilevel"/>
    <w:tmpl w:val="51BAB7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4402D0B"/>
    <w:multiLevelType w:val="multilevel"/>
    <w:tmpl w:val="D372684C"/>
    <w:lvl w:ilvl="0">
      <w:start w:val="1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3513CB5"/>
    <w:multiLevelType w:val="hybridMultilevel"/>
    <w:tmpl w:val="942CE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6E677F3"/>
    <w:multiLevelType w:val="hybridMultilevel"/>
    <w:tmpl w:val="D55A858A"/>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6F5B517D"/>
    <w:multiLevelType w:val="hybridMultilevel"/>
    <w:tmpl w:val="C01ED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0DC029F"/>
    <w:multiLevelType w:val="hybridMultilevel"/>
    <w:tmpl w:val="780E346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7CEB0AA9"/>
    <w:multiLevelType w:val="hybridMultilevel"/>
    <w:tmpl w:val="5186D454"/>
    <w:lvl w:ilvl="0" w:tplc="15A6C2C2">
      <w:start w:val="1"/>
      <w:numFmt w:val="decimal"/>
      <w:lvlText w:val="%1)"/>
      <w:lvlJc w:val="left"/>
      <w:pPr>
        <w:ind w:left="2553" w:hanging="286"/>
      </w:pPr>
      <w:rPr>
        <w:rFonts w:ascii="Arial" w:eastAsia="Arial" w:hAnsi="Arial" w:hint="default"/>
        <w:w w:val="100"/>
        <w:sz w:val="24"/>
        <w:szCs w:val="24"/>
      </w:rPr>
    </w:lvl>
    <w:lvl w:ilvl="1" w:tplc="32CC32D2">
      <w:start w:val="1"/>
      <w:numFmt w:val="decimal"/>
      <w:lvlText w:val="%2."/>
      <w:lvlJc w:val="left"/>
      <w:pPr>
        <w:ind w:left="2988" w:hanging="360"/>
      </w:pPr>
      <w:rPr>
        <w:rFonts w:ascii="Arial" w:eastAsia="Arial" w:hAnsi="Arial" w:hint="default"/>
        <w:w w:val="100"/>
        <w:sz w:val="24"/>
        <w:szCs w:val="24"/>
      </w:rPr>
    </w:lvl>
    <w:lvl w:ilvl="2" w:tplc="0F104A7E">
      <w:start w:val="1"/>
      <w:numFmt w:val="bullet"/>
      <w:lvlText w:val="•"/>
      <w:lvlJc w:val="left"/>
      <w:pPr>
        <w:ind w:left="4008" w:hanging="360"/>
      </w:pPr>
      <w:rPr>
        <w:rFonts w:hint="default"/>
      </w:rPr>
    </w:lvl>
    <w:lvl w:ilvl="3" w:tplc="5A54D520">
      <w:start w:val="1"/>
      <w:numFmt w:val="bullet"/>
      <w:lvlText w:val="•"/>
      <w:lvlJc w:val="left"/>
      <w:pPr>
        <w:ind w:left="5037" w:hanging="360"/>
      </w:pPr>
      <w:rPr>
        <w:rFonts w:hint="default"/>
      </w:rPr>
    </w:lvl>
    <w:lvl w:ilvl="4" w:tplc="EB2A5150">
      <w:start w:val="1"/>
      <w:numFmt w:val="bullet"/>
      <w:lvlText w:val="•"/>
      <w:lvlJc w:val="left"/>
      <w:pPr>
        <w:ind w:left="6066" w:hanging="360"/>
      </w:pPr>
      <w:rPr>
        <w:rFonts w:hint="default"/>
      </w:rPr>
    </w:lvl>
    <w:lvl w:ilvl="5" w:tplc="031A5E76">
      <w:start w:val="1"/>
      <w:numFmt w:val="bullet"/>
      <w:lvlText w:val="•"/>
      <w:lvlJc w:val="left"/>
      <w:pPr>
        <w:ind w:left="7095" w:hanging="360"/>
      </w:pPr>
      <w:rPr>
        <w:rFonts w:hint="default"/>
      </w:rPr>
    </w:lvl>
    <w:lvl w:ilvl="6" w:tplc="60E825F2">
      <w:start w:val="1"/>
      <w:numFmt w:val="bullet"/>
      <w:lvlText w:val="•"/>
      <w:lvlJc w:val="left"/>
      <w:pPr>
        <w:ind w:left="8124" w:hanging="360"/>
      </w:pPr>
      <w:rPr>
        <w:rFonts w:hint="default"/>
      </w:rPr>
    </w:lvl>
    <w:lvl w:ilvl="7" w:tplc="FEEA022C">
      <w:start w:val="1"/>
      <w:numFmt w:val="bullet"/>
      <w:lvlText w:val="•"/>
      <w:lvlJc w:val="left"/>
      <w:pPr>
        <w:ind w:left="9153" w:hanging="360"/>
      </w:pPr>
      <w:rPr>
        <w:rFonts w:hint="default"/>
      </w:rPr>
    </w:lvl>
    <w:lvl w:ilvl="8" w:tplc="CF92A0B6">
      <w:start w:val="1"/>
      <w:numFmt w:val="bullet"/>
      <w:lvlText w:val="•"/>
      <w:lvlJc w:val="left"/>
      <w:pPr>
        <w:ind w:left="10182" w:hanging="360"/>
      </w:pPr>
      <w:rPr>
        <w:rFonts w:hint="default"/>
      </w:rPr>
    </w:lvl>
  </w:abstractNum>
  <w:abstractNum w:abstractNumId="11" w15:restartNumberingAfterBreak="0">
    <w:nsid w:val="7E253613"/>
    <w:multiLevelType w:val="hybridMultilevel"/>
    <w:tmpl w:val="785CD2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FD726B2"/>
    <w:multiLevelType w:val="hybridMultilevel"/>
    <w:tmpl w:val="7D000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6"/>
  </w:num>
  <w:num w:numId="5">
    <w:abstractNumId w:val="8"/>
  </w:num>
  <w:num w:numId="6">
    <w:abstractNumId w:val="11"/>
  </w:num>
  <w:num w:numId="7">
    <w:abstractNumId w:val="12"/>
  </w:num>
  <w:num w:numId="8">
    <w:abstractNumId w:val="3"/>
  </w:num>
  <w:num w:numId="9">
    <w:abstractNumId w:val="10"/>
  </w:num>
  <w:num w:numId="10">
    <w:abstractNumId w:val="9"/>
  </w:num>
  <w:num w:numId="11">
    <w:abstractNumId w:val="0"/>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F6"/>
    <w:rsid w:val="000015B0"/>
    <w:rsid w:val="00001618"/>
    <w:rsid w:val="000031DD"/>
    <w:rsid w:val="00004C47"/>
    <w:rsid w:val="00004F50"/>
    <w:rsid w:val="000060D4"/>
    <w:rsid w:val="0001133A"/>
    <w:rsid w:val="000116E0"/>
    <w:rsid w:val="00011C09"/>
    <w:rsid w:val="00012065"/>
    <w:rsid w:val="000157D6"/>
    <w:rsid w:val="000213D4"/>
    <w:rsid w:val="00021FAC"/>
    <w:rsid w:val="00022600"/>
    <w:rsid w:val="000245D1"/>
    <w:rsid w:val="000251C8"/>
    <w:rsid w:val="00025768"/>
    <w:rsid w:val="00025B51"/>
    <w:rsid w:val="000271A0"/>
    <w:rsid w:val="00027495"/>
    <w:rsid w:val="00031C45"/>
    <w:rsid w:val="000322F5"/>
    <w:rsid w:val="00034A90"/>
    <w:rsid w:val="00035B3C"/>
    <w:rsid w:val="0003697D"/>
    <w:rsid w:val="00037035"/>
    <w:rsid w:val="00043560"/>
    <w:rsid w:val="000458B4"/>
    <w:rsid w:val="000501FA"/>
    <w:rsid w:val="00050203"/>
    <w:rsid w:val="00053D8A"/>
    <w:rsid w:val="00055383"/>
    <w:rsid w:val="000556A8"/>
    <w:rsid w:val="000562B1"/>
    <w:rsid w:val="00056A42"/>
    <w:rsid w:val="00056BA4"/>
    <w:rsid w:val="00056BF3"/>
    <w:rsid w:val="00057D96"/>
    <w:rsid w:val="00066649"/>
    <w:rsid w:val="00066739"/>
    <w:rsid w:val="00067681"/>
    <w:rsid w:val="00067C2F"/>
    <w:rsid w:val="000718C0"/>
    <w:rsid w:val="000724A4"/>
    <w:rsid w:val="0007393F"/>
    <w:rsid w:val="000759A7"/>
    <w:rsid w:val="0007711D"/>
    <w:rsid w:val="00081C48"/>
    <w:rsid w:val="000872C6"/>
    <w:rsid w:val="000876A2"/>
    <w:rsid w:val="00087FB7"/>
    <w:rsid w:val="00090025"/>
    <w:rsid w:val="000919AF"/>
    <w:rsid w:val="0009246D"/>
    <w:rsid w:val="00096010"/>
    <w:rsid w:val="00096D99"/>
    <w:rsid w:val="0009736E"/>
    <w:rsid w:val="00097552"/>
    <w:rsid w:val="000A0EDF"/>
    <w:rsid w:val="000A3419"/>
    <w:rsid w:val="000A42B1"/>
    <w:rsid w:val="000A582B"/>
    <w:rsid w:val="000B0984"/>
    <w:rsid w:val="000B106B"/>
    <w:rsid w:val="000C390D"/>
    <w:rsid w:val="000C56D0"/>
    <w:rsid w:val="000C5730"/>
    <w:rsid w:val="000C5B64"/>
    <w:rsid w:val="000D14F0"/>
    <w:rsid w:val="000D3D02"/>
    <w:rsid w:val="000D43CC"/>
    <w:rsid w:val="000D440E"/>
    <w:rsid w:val="000D4640"/>
    <w:rsid w:val="000D5073"/>
    <w:rsid w:val="000D5AD7"/>
    <w:rsid w:val="000D5C10"/>
    <w:rsid w:val="000E07A9"/>
    <w:rsid w:val="000E3756"/>
    <w:rsid w:val="000E47AB"/>
    <w:rsid w:val="000E4F5E"/>
    <w:rsid w:val="000E4FD5"/>
    <w:rsid w:val="000E5652"/>
    <w:rsid w:val="000E6F9C"/>
    <w:rsid w:val="000E743E"/>
    <w:rsid w:val="000E7C2C"/>
    <w:rsid w:val="000F17E0"/>
    <w:rsid w:val="000F189B"/>
    <w:rsid w:val="000F1A2E"/>
    <w:rsid w:val="000F26F0"/>
    <w:rsid w:val="000F39DD"/>
    <w:rsid w:val="000F7639"/>
    <w:rsid w:val="0010020A"/>
    <w:rsid w:val="00101DBA"/>
    <w:rsid w:val="001033C5"/>
    <w:rsid w:val="00104D96"/>
    <w:rsid w:val="00107347"/>
    <w:rsid w:val="00107EC2"/>
    <w:rsid w:val="001111B0"/>
    <w:rsid w:val="00112C9B"/>
    <w:rsid w:val="001140DD"/>
    <w:rsid w:val="00116761"/>
    <w:rsid w:val="00116AE2"/>
    <w:rsid w:val="00120A74"/>
    <w:rsid w:val="0012242E"/>
    <w:rsid w:val="00122651"/>
    <w:rsid w:val="00130958"/>
    <w:rsid w:val="00130C6B"/>
    <w:rsid w:val="00132719"/>
    <w:rsid w:val="00132972"/>
    <w:rsid w:val="001332C7"/>
    <w:rsid w:val="0013341A"/>
    <w:rsid w:val="00136936"/>
    <w:rsid w:val="00136EDB"/>
    <w:rsid w:val="00145434"/>
    <w:rsid w:val="001474AE"/>
    <w:rsid w:val="001509E6"/>
    <w:rsid w:val="00153946"/>
    <w:rsid w:val="001569F0"/>
    <w:rsid w:val="00157EDE"/>
    <w:rsid w:val="001633C9"/>
    <w:rsid w:val="00164033"/>
    <w:rsid w:val="001641CD"/>
    <w:rsid w:val="001674D2"/>
    <w:rsid w:val="00170859"/>
    <w:rsid w:val="00170CAC"/>
    <w:rsid w:val="00170F88"/>
    <w:rsid w:val="00171A10"/>
    <w:rsid w:val="001723DC"/>
    <w:rsid w:val="001749BF"/>
    <w:rsid w:val="00174E0C"/>
    <w:rsid w:val="0017514A"/>
    <w:rsid w:val="00180DDF"/>
    <w:rsid w:val="00182157"/>
    <w:rsid w:val="00183093"/>
    <w:rsid w:val="00183DF4"/>
    <w:rsid w:val="00184959"/>
    <w:rsid w:val="00185F02"/>
    <w:rsid w:val="001860B8"/>
    <w:rsid w:val="00194E9A"/>
    <w:rsid w:val="0019565B"/>
    <w:rsid w:val="00197702"/>
    <w:rsid w:val="001A1018"/>
    <w:rsid w:val="001A155B"/>
    <w:rsid w:val="001A200B"/>
    <w:rsid w:val="001A20C7"/>
    <w:rsid w:val="001A2486"/>
    <w:rsid w:val="001A4C6F"/>
    <w:rsid w:val="001B0EDA"/>
    <w:rsid w:val="001B2E18"/>
    <w:rsid w:val="001B435E"/>
    <w:rsid w:val="001B620E"/>
    <w:rsid w:val="001C223A"/>
    <w:rsid w:val="001C23EA"/>
    <w:rsid w:val="001C4AA6"/>
    <w:rsid w:val="001C58A6"/>
    <w:rsid w:val="001D002F"/>
    <w:rsid w:val="001D1275"/>
    <w:rsid w:val="001D2F83"/>
    <w:rsid w:val="001D3387"/>
    <w:rsid w:val="001D3FD4"/>
    <w:rsid w:val="001D425C"/>
    <w:rsid w:val="001D47CC"/>
    <w:rsid w:val="001D4E73"/>
    <w:rsid w:val="001D54E8"/>
    <w:rsid w:val="001D5A99"/>
    <w:rsid w:val="001D63A6"/>
    <w:rsid w:val="001D6E03"/>
    <w:rsid w:val="001E17E8"/>
    <w:rsid w:val="001E31F8"/>
    <w:rsid w:val="001E33C5"/>
    <w:rsid w:val="001E3BC5"/>
    <w:rsid w:val="001E3F78"/>
    <w:rsid w:val="001E67A8"/>
    <w:rsid w:val="001F0194"/>
    <w:rsid w:val="00200F70"/>
    <w:rsid w:val="00203392"/>
    <w:rsid w:val="00203D6F"/>
    <w:rsid w:val="0020670F"/>
    <w:rsid w:val="00206DA6"/>
    <w:rsid w:val="00207FE6"/>
    <w:rsid w:val="00210753"/>
    <w:rsid w:val="00214F41"/>
    <w:rsid w:val="002156F4"/>
    <w:rsid w:val="00217F26"/>
    <w:rsid w:val="00222983"/>
    <w:rsid w:val="00222E6F"/>
    <w:rsid w:val="0022313A"/>
    <w:rsid w:val="002251C2"/>
    <w:rsid w:val="00226985"/>
    <w:rsid w:val="002301FA"/>
    <w:rsid w:val="00230241"/>
    <w:rsid w:val="00230D57"/>
    <w:rsid w:val="00232C74"/>
    <w:rsid w:val="00232C86"/>
    <w:rsid w:val="00233293"/>
    <w:rsid w:val="002337F8"/>
    <w:rsid w:val="00233F68"/>
    <w:rsid w:val="002350CD"/>
    <w:rsid w:val="0023607D"/>
    <w:rsid w:val="0023687B"/>
    <w:rsid w:val="00244F5E"/>
    <w:rsid w:val="00251938"/>
    <w:rsid w:val="00251A53"/>
    <w:rsid w:val="002537DC"/>
    <w:rsid w:val="00253FFE"/>
    <w:rsid w:val="002551CB"/>
    <w:rsid w:val="00255F64"/>
    <w:rsid w:val="00256C42"/>
    <w:rsid w:val="00256D25"/>
    <w:rsid w:val="00257CFE"/>
    <w:rsid w:val="00261495"/>
    <w:rsid w:val="00261762"/>
    <w:rsid w:val="00261B1F"/>
    <w:rsid w:val="0026218D"/>
    <w:rsid w:val="002631B7"/>
    <w:rsid w:val="00264035"/>
    <w:rsid w:val="002647AD"/>
    <w:rsid w:val="002659B1"/>
    <w:rsid w:val="00267A2F"/>
    <w:rsid w:val="00267D51"/>
    <w:rsid w:val="00271037"/>
    <w:rsid w:val="002715EA"/>
    <w:rsid w:val="002751DE"/>
    <w:rsid w:val="002756DC"/>
    <w:rsid w:val="002768A4"/>
    <w:rsid w:val="0027781D"/>
    <w:rsid w:val="0027797A"/>
    <w:rsid w:val="00282114"/>
    <w:rsid w:val="0028230C"/>
    <w:rsid w:val="00282D10"/>
    <w:rsid w:val="002862EE"/>
    <w:rsid w:val="0028787D"/>
    <w:rsid w:val="00290395"/>
    <w:rsid w:val="00291A09"/>
    <w:rsid w:val="00293F5C"/>
    <w:rsid w:val="0029433A"/>
    <w:rsid w:val="002963D1"/>
    <w:rsid w:val="00297FEB"/>
    <w:rsid w:val="002A0335"/>
    <w:rsid w:val="002A11C1"/>
    <w:rsid w:val="002A14D3"/>
    <w:rsid w:val="002A27CF"/>
    <w:rsid w:val="002A675C"/>
    <w:rsid w:val="002A7C5D"/>
    <w:rsid w:val="002B0C88"/>
    <w:rsid w:val="002B1DE8"/>
    <w:rsid w:val="002B39F5"/>
    <w:rsid w:val="002B443D"/>
    <w:rsid w:val="002B5144"/>
    <w:rsid w:val="002B5D68"/>
    <w:rsid w:val="002B6E61"/>
    <w:rsid w:val="002C04AA"/>
    <w:rsid w:val="002C1485"/>
    <w:rsid w:val="002C7A5B"/>
    <w:rsid w:val="002D07A7"/>
    <w:rsid w:val="002E216D"/>
    <w:rsid w:val="002E44ED"/>
    <w:rsid w:val="002E4C3F"/>
    <w:rsid w:val="002F2C04"/>
    <w:rsid w:val="002F3106"/>
    <w:rsid w:val="002F5F5F"/>
    <w:rsid w:val="003001EA"/>
    <w:rsid w:val="0030172F"/>
    <w:rsid w:val="003037D3"/>
    <w:rsid w:val="00303E34"/>
    <w:rsid w:val="00306340"/>
    <w:rsid w:val="0031071E"/>
    <w:rsid w:val="0031383D"/>
    <w:rsid w:val="00315D1F"/>
    <w:rsid w:val="003201EE"/>
    <w:rsid w:val="00321CF3"/>
    <w:rsid w:val="00343CE1"/>
    <w:rsid w:val="003449BA"/>
    <w:rsid w:val="00347B55"/>
    <w:rsid w:val="00350062"/>
    <w:rsid w:val="00353B12"/>
    <w:rsid w:val="00356EF7"/>
    <w:rsid w:val="003577FB"/>
    <w:rsid w:val="003633CF"/>
    <w:rsid w:val="003636A3"/>
    <w:rsid w:val="003655A3"/>
    <w:rsid w:val="003670FA"/>
    <w:rsid w:val="00371AFE"/>
    <w:rsid w:val="00373349"/>
    <w:rsid w:val="0037354C"/>
    <w:rsid w:val="00375858"/>
    <w:rsid w:val="00381C9C"/>
    <w:rsid w:val="003821E6"/>
    <w:rsid w:val="00385164"/>
    <w:rsid w:val="00385516"/>
    <w:rsid w:val="00386108"/>
    <w:rsid w:val="00386D79"/>
    <w:rsid w:val="0039073D"/>
    <w:rsid w:val="00390A1D"/>
    <w:rsid w:val="00392E5E"/>
    <w:rsid w:val="00394BBA"/>
    <w:rsid w:val="00395B21"/>
    <w:rsid w:val="00395EFC"/>
    <w:rsid w:val="003972A2"/>
    <w:rsid w:val="003A1BC4"/>
    <w:rsid w:val="003A2F7F"/>
    <w:rsid w:val="003A3C8A"/>
    <w:rsid w:val="003A72BB"/>
    <w:rsid w:val="003B0A3E"/>
    <w:rsid w:val="003B1072"/>
    <w:rsid w:val="003B36D2"/>
    <w:rsid w:val="003B3C36"/>
    <w:rsid w:val="003B5016"/>
    <w:rsid w:val="003B5FBF"/>
    <w:rsid w:val="003C1430"/>
    <w:rsid w:val="003C2717"/>
    <w:rsid w:val="003C55B3"/>
    <w:rsid w:val="003C7531"/>
    <w:rsid w:val="003C7542"/>
    <w:rsid w:val="003D0592"/>
    <w:rsid w:val="003D235F"/>
    <w:rsid w:val="003D2498"/>
    <w:rsid w:val="003D2D47"/>
    <w:rsid w:val="003D3DF0"/>
    <w:rsid w:val="003D47A6"/>
    <w:rsid w:val="003D5129"/>
    <w:rsid w:val="003D7E1D"/>
    <w:rsid w:val="003E1553"/>
    <w:rsid w:val="003E1C90"/>
    <w:rsid w:val="003E22D1"/>
    <w:rsid w:val="003E2845"/>
    <w:rsid w:val="003E2B0A"/>
    <w:rsid w:val="003E511E"/>
    <w:rsid w:val="003E5641"/>
    <w:rsid w:val="003E5BCE"/>
    <w:rsid w:val="003E7FD7"/>
    <w:rsid w:val="003F54EA"/>
    <w:rsid w:val="003F6045"/>
    <w:rsid w:val="0040160E"/>
    <w:rsid w:val="00404F09"/>
    <w:rsid w:val="00407F23"/>
    <w:rsid w:val="00414324"/>
    <w:rsid w:val="00415574"/>
    <w:rsid w:val="00415C72"/>
    <w:rsid w:val="0041600F"/>
    <w:rsid w:val="00416635"/>
    <w:rsid w:val="00421827"/>
    <w:rsid w:val="00423412"/>
    <w:rsid w:val="00423A26"/>
    <w:rsid w:val="00423F5C"/>
    <w:rsid w:val="00425983"/>
    <w:rsid w:val="004265F4"/>
    <w:rsid w:val="00426A88"/>
    <w:rsid w:val="0043077C"/>
    <w:rsid w:val="00432641"/>
    <w:rsid w:val="004332ED"/>
    <w:rsid w:val="0043498E"/>
    <w:rsid w:val="00435C2D"/>
    <w:rsid w:val="0044097B"/>
    <w:rsid w:val="004410A9"/>
    <w:rsid w:val="00452DD8"/>
    <w:rsid w:val="004542D4"/>
    <w:rsid w:val="004607C5"/>
    <w:rsid w:val="004624D5"/>
    <w:rsid w:val="00466A2B"/>
    <w:rsid w:val="00466B45"/>
    <w:rsid w:val="00473E92"/>
    <w:rsid w:val="004751B7"/>
    <w:rsid w:val="0047565B"/>
    <w:rsid w:val="00476ED1"/>
    <w:rsid w:val="00477A5A"/>
    <w:rsid w:val="004809B9"/>
    <w:rsid w:val="00482566"/>
    <w:rsid w:val="00482769"/>
    <w:rsid w:val="00483FF7"/>
    <w:rsid w:val="00486956"/>
    <w:rsid w:val="004873F6"/>
    <w:rsid w:val="00491129"/>
    <w:rsid w:val="0049314A"/>
    <w:rsid w:val="0049688B"/>
    <w:rsid w:val="004974D1"/>
    <w:rsid w:val="004A028F"/>
    <w:rsid w:val="004A063D"/>
    <w:rsid w:val="004A0E49"/>
    <w:rsid w:val="004A1AA8"/>
    <w:rsid w:val="004A39EA"/>
    <w:rsid w:val="004A41E2"/>
    <w:rsid w:val="004A4E01"/>
    <w:rsid w:val="004A7F19"/>
    <w:rsid w:val="004B2E72"/>
    <w:rsid w:val="004B4ECC"/>
    <w:rsid w:val="004B5241"/>
    <w:rsid w:val="004B63AD"/>
    <w:rsid w:val="004B7785"/>
    <w:rsid w:val="004B7892"/>
    <w:rsid w:val="004C381C"/>
    <w:rsid w:val="004C4FC6"/>
    <w:rsid w:val="004C5C58"/>
    <w:rsid w:val="004C7553"/>
    <w:rsid w:val="004C7C6B"/>
    <w:rsid w:val="004D12D8"/>
    <w:rsid w:val="004D1325"/>
    <w:rsid w:val="004D1908"/>
    <w:rsid w:val="004D7269"/>
    <w:rsid w:val="004E114C"/>
    <w:rsid w:val="004E4A6C"/>
    <w:rsid w:val="004E6098"/>
    <w:rsid w:val="004E7877"/>
    <w:rsid w:val="004E7E3A"/>
    <w:rsid w:val="004E7F5E"/>
    <w:rsid w:val="004F252E"/>
    <w:rsid w:val="004F3138"/>
    <w:rsid w:val="004F3187"/>
    <w:rsid w:val="004F4C63"/>
    <w:rsid w:val="004F6367"/>
    <w:rsid w:val="004F6AF1"/>
    <w:rsid w:val="005038E6"/>
    <w:rsid w:val="00504707"/>
    <w:rsid w:val="005071BD"/>
    <w:rsid w:val="00514DB3"/>
    <w:rsid w:val="00515C4C"/>
    <w:rsid w:val="00521124"/>
    <w:rsid w:val="0052147B"/>
    <w:rsid w:val="0052194C"/>
    <w:rsid w:val="00521A0F"/>
    <w:rsid w:val="00523F88"/>
    <w:rsid w:val="00527157"/>
    <w:rsid w:val="005309F8"/>
    <w:rsid w:val="00530B1C"/>
    <w:rsid w:val="00530C9F"/>
    <w:rsid w:val="00533629"/>
    <w:rsid w:val="00533C57"/>
    <w:rsid w:val="0053498D"/>
    <w:rsid w:val="0054382B"/>
    <w:rsid w:val="0054397E"/>
    <w:rsid w:val="00543EEF"/>
    <w:rsid w:val="005449A2"/>
    <w:rsid w:val="00547484"/>
    <w:rsid w:val="00551748"/>
    <w:rsid w:val="00551987"/>
    <w:rsid w:val="00553818"/>
    <w:rsid w:val="005546F2"/>
    <w:rsid w:val="005548A6"/>
    <w:rsid w:val="00554DCD"/>
    <w:rsid w:val="00554E32"/>
    <w:rsid w:val="005564FA"/>
    <w:rsid w:val="00556CA8"/>
    <w:rsid w:val="00557F38"/>
    <w:rsid w:val="00564B49"/>
    <w:rsid w:val="00564F2E"/>
    <w:rsid w:val="00564FE6"/>
    <w:rsid w:val="00575A23"/>
    <w:rsid w:val="005776B7"/>
    <w:rsid w:val="00577D85"/>
    <w:rsid w:val="00577DC3"/>
    <w:rsid w:val="00581E6C"/>
    <w:rsid w:val="00582061"/>
    <w:rsid w:val="00582D2C"/>
    <w:rsid w:val="00590084"/>
    <w:rsid w:val="005906A0"/>
    <w:rsid w:val="005906E8"/>
    <w:rsid w:val="00591560"/>
    <w:rsid w:val="00591DB8"/>
    <w:rsid w:val="005954CE"/>
    <w:rsid w:val="00595765"/>
    <w:rsid w:val="0059772D"/>
    <w:rsid w:val="00597AF1"/>
    <w:rsid w:val="005A0463"/>
    <w:rsid w:val="005A26AC"/>
    <w:rsid w:val="005A2B3F"/>
    <w:rsid w:val="005A3C30"/>
    <w:rsid w:val="005A5F0A"/>
    <w:rsid w:val="005A60F4"/>
    <w:rsid w:val="005A684B"/>
    <w:rsid w:val="005A73D5"/>
    <w:rsid w:val="005B05C7"/>
    <w:rsid w:val="005B24E5"/>
    <w:rsid w:val="005B3410"/>
    <w:rsid w:val="005B3EBA"/>
    <w:rsid w:val="005B66FD"/>
    <w:rsid w:val="005B6F86"/>
    <w:rsid w:val="005B71F8"/>
    <w:rsid w:val="005B7C83"/>
    <w:rsid w:val="005C08E0"/>
    <w:rsid w:val="005C2F76"/>
    <w:rsid w:val="005C315A"/>
    <w:rsid w:val="005C48FC"/>
    <w:rsid w:val="005C5351"/>
    <w:rsid w:val="005C5788"/>
    <w:rsid w:val="005C6771"/>
    <w:rsid w:val="005C7FFC"/>
    <w:rsid w:val="005D1A31"/>
    <w:rsid w:val="005D3F2D"/>
    <w:rsid w:val="005D571A"/>
    <w:rsid w:val="005D7711"/>
    <w:rsid w:val="005E385C"/>
    <w:rsid w:val="005E440C"/>
    <w:rsid w:val="005E61BD"/>
    <w:rsid w:val="005E6525"/>
    <w:rsid w:val="005E7968"/>
    <w:rsid w:val="005E7E37"/>
    <w:rsid w:val="005F048A"/>
    <w:rsid w:val="005F3AA9"/>
    <w:rsid w:val="005F6A08"/>
    <w:rsid w:val="005F6F3D"/>
    <w:rsid w:val="005F7076"/>
    <w:rsid w:val="00601212"/>
    <w:rsid w:val="00603C38"/>
    <w:rsid w:val="00606DDB"/>
    <w:rsid w:val="00606E96"/>
    <w:rsid w:val="006108CE"/>
    <w:rsid w:val="00611681"/>
    <w:rsid w:val="00611952"/>
    <w:rsid w:val="00611DF2"/>
    <w:rsid w:val="006151E7"/>
    <w:rsid w:val="00616274"/>
    <w:rsid w:val="0062043B"/>
    <w:rsid w:val="00620E67"/>
    <w:rsid w:val="00622D24"/>
    <w:rsid w:val="00627BF2"/>
    <w:rsid w:val="00632045"/>
    <w:rsid w:val="0063243A"/>
    <w:rsid w:val="0063699A"/>
    <w:rsid w:val="00636D7E"/>
    <w:rsid w:val="006406DD"/>
    <w:rsid w:val="0064261A"/>
    <w:rsid w:val="00644334"/>
    <w:rsid w:val="00650E2C"/>
    <w:rsid w:val="006547FE"/>
    <w:rsid w:val="00655898"/>
    <w:rsid w:val="006558C6"/>
    <w:rsid w:val="00660074"/>
    <w:rsid w:val="006645F8"/>
    <w:rsid w:val="00667B95"/>
    <w:rsid w:val="0067147B"/>
    <w:rsid w:val="00671D19"/>
    <w:rsid w:val="006736DB"/>
    <w:rsid w:val="0067562A"/>
    <w:rsid w:val="00676933"/>
    <w:rsid w:val="0067791C"/>
    <w:rsid w:val="00680521"/>
    <w:rsid w:val="006827F2"/>
    <w:rsid w:val="00682BB3"/>
    <w:rsid w:val="00683514"/>
    <w:rsid w:val="00683DDE"/>
    <w:rsid w:val="00684ACA"/>
    <w:rsid w:val="0068651D"/>
    <w:rsid w:val="006901B5"/>
    <w:rsid w:val="006908C3"/>
    <w:rsid w:val="00693F7C"/>
    <w:rsid w:val="00694784"/>
    <w:rsid w:val="00694C86"/>
    <w:rsid w:val="006953FF"/>
    <w:rsid w:val="00695683"/>
    <w:rsid w:val="006A19C2"/>
    <w:rsid w:val="006A2FCB"/>
    <w:rsid w:val="006A3448"/>
    <w:rsid w:val="006A58FB"/>
    <w:rsid w:val="006A5A06"/>
    <w:rsid w:val="006B0468"/>
    <w:rsid w:val="006B29C2"/>
    <w:rsid w:val="006B3E1F"/>
    <w:rsid w:val="006B5E8A"/>
    <w:rsid w:val="006B5F1F"/>
    <w:rsid w:val="006B648F"/>
    <w:rsid w:val="006B6603"/>
    <w:rsid w:val="006C2407"/>
    <w:rsid w:val="006C3250"/>
    <w:rsid w:val="006C534A"/>
    <w:rsid w:val="006C55A2"/>
    <w:rsid w:val="006D0738"/>
    <w:rsid w:val="006D2799"/>
    <w:rsid w:val="006D3FD3"/>
    <w:rsid w:val="006D42E5"/>
    <w:rsid w:val="006E0AEC"/>
    <w:rsid w:val="006E255A"/>
    <w:rsid w:val="006E2A9B"/>
    <w:rsid w:val="006E2BFD"/>
    <w:rsid w:val="006E34B8"/>
    <w:rsid w:val="006E3A08"/>
    <w:rsid w:val="006E4397"/>
    <w:rsid w:val="006E63D0"/>
    <w:rsid w:val="006E67AC"/>
    <w:rsid w:val="006F23F2"/>
    <w:rsid w:val="006F328E"/>
    <w:rsid w:val="006F616D"/>
    <w:rsid w:val="006F7C5A"/>
    <w:rsid w:val="007006D3"/>
    <w:rsid w:val="00702858"/>
    <w:rsid w:val="00702EC9"/>
    <w:rsid w:val="0070330F"/>
    <w:rsid w:val="007055BB"/>
    <w:rsid w:val="00705865"/>
    <w:rsid w:val="0070743B"/>
    <w:rsid w:val="00707FBC"/>
    <w:rsid w:val="00713398"/>
    <w:rsid w:val="007145C7"/>
    <w:rsid w:val="007161AC"/>
    <w:rsid w:val="00720D0B"/>
    <w:rsid w:val="00724ABC"/>
    <w:rsid w:val="007267E7"/>
    <w:rsid w:val="00733B37"/>
    <w:rsid w:val="00733C88"/>
    <w:rsid w:val="00733E59"/>
    <w:rsid w:val="00735F99"/>
    <w:rsid w:val="0074016E"/>
    <w:rsid w:val="007409FD"/>
    <w:rsid w:val="007411E3"/>
    <w:rsid w:val="00742921"/>
    <w:rsid w:val="00742F54"/>
    <w:rsid w:val="0074485A"/>
    <w:rsid w:val="00746F7F"/>
    <w:rsid w:val="00747B44"/>
    <w:rsid w:val="00751804"/>
    <w:rsid w:val="00753328"/>
    <w:rsid w:val="007551CB"/>
    <w:rsid w:val="007608C1"/>
    <w:rsid w:val="007622A3"/>
    <w:rsid w:val="00762615"/>
    <w:rsid w:val="00763242"/>
    <w:rsid w:val="00764273"/>
    <w:rsid w:val="00767DBE"/>
    <w:rsid w:val="00771214"/>
    <w:rsid w:val="0077170A"/>
    <w:rsid w:val="00771984"/>
    <w:rsid w:val="00773FC0"/>
    <w:rsid w:val="00774512"/>
    <w:rsid w:val="007754CB"/>
    <w:rsid w:val="00780DA7"/>
    <w:rsid w:val="007850CB"/>
    <w:rsid w:val="00790E57"/>
    <w:rsid w:val="0079186B"/>
    <w:rsid w:val="00792413"/>
    <w:rsid w:val="00794B8C"/>
    <w:rsid w:val="00797361"/>
    <w:rsid w:val="007A18E4"/>
    <w:rsid w:val="007A277F"/>
    <w:rsid w:val="007A4602"/>
    <w:rsid w:val="007A7BF6"/>
    <w:rsid w:val="007B10BA"/>
    <w:rsid w:val="007B1FFA"/>
    <w:rsid w:val="007B3391"/>
    <w:rsid w:val="007B41CD"/>
    <w:rsid w:val="007B66D8"/>
    <w:rsid w:val="007B69EA"/>
    <w:rsid w:val="007C1EE2"/>
    <w:rsid w:val="007C6FF1"/>
    <w:rsid w:val="007D2C55"/>
    <w:rsid w:val="007D667D"/>
    <w:rsid w:val="007D69C1"/>
    <w:rsid w:val="007D6E6B"/>
    <w:rsid w:val="007D74E6"/>
    <w:rsid w:val="007E291F"/>
    <w:rsid w:val="007E3030"/>
    <w:rsid w:val="007F0CB7"/>
    <w:rsid w:val="007F2A98"/>
    <w:rsid w:val="007F3483"/>
    <w:rsid w:val="007F3613"/>
    <w:rsid w:val="007F496E"/>
    <w:rsid w:val="007F4A64"/>
    <w:rsid w:val="008000C6"/>
    <w:rsid w:val="0080079A"/>
    <w:rsid w:val="00801167"/>
    <w:rsid w:val="00802B86"/>
    <w:rsid w:val="00802B9C"/>
    <w:rsid w:val="00802DA8"/>
    <w:rsid w:val="008049A1"/>
    <w:rsid w:val="00807C04"/>
    <w:rsid w:val="00810B26"/>
    <w:rsid w:val="00811217"/>
    <w:rsid w:val="00811478"/>
    <w:rsid w:val="00812D63"/>
    <w:rsid w:val="00813107"/>
    <w:rsid w:val="00813331"/>
    <w:rsid w:val="0081376E"/>
    <w:rsid w:val="00822844"/>
    <w:rsid w:val="00822918"/>
    <w:rsid w:val="008262F7"/>
    <w:rsid w:val="00827638"/>
    <w:rsid w:val="00827F75"/>
    <w:rsid w:val="00832161"/>
    <w:rsid w:val="008322EE"/>
    <w:rsid w:val="00834908"/>
    <w:rsid w:val="00835727"/>
    <w:rsid w:val="00837230"/>
    <w:rsid w:val="00843EE6"/>
    <w:rsid w:val="008459EE"/>
    <w:rsid w:val="008516F2"/>
    <w:rsid w:val="00852329"/>
    <w:rsid w:val="008525A3"/>
    <w:rsid w:val="00854AC4"/>
    <w:rsid w:val="00855AA5"/>
    <w:rsid w:val="00857730"/>
    <w:rsid w:val="00863B81"/>
    <w:rsid w:val="00866BB2"/>
    <w:rsid w:val="00870442"/>
    <w:rsid w:val="008712FC"/>
    <w:rsid w:val="00872969"/>
    <w:rsid w:val="008729B1"/>
    <w:rsid w:val="00873A75"/>
    <w:rsid w:val="00875530"/>
    <w:rsid w:val="008775F5"/>
    <w:rsid w:val="008800B0"/>
    <w:rsid w:val="0088188F"/>
    <w:rsid w:val="00882092"/>
    <w:rsid w:val="008830F8"/>
    <w:rsid w:val="00883EC1"/>
    <w:rsid w:val="00885973"/>
    <w:rsid w:val="00890BE0"/>
    <w:rsid w:val="00897FDF"/>
    <w:rsid w:val="008A144C"/>
    <w:rsid w:val="008A1AB0"/>
    <w:rsid w:val="008A3397"/>
    <w:rsid w:val="008B1B75"/>
    <w:rsid w:val="008B2205"/>
    <w:rsid w:val="008B402E"/>
    <w:rsid w:val="008B5133"/>
    <w:rsid w:val="008B5CF6"/>
    <w:rsid w:val="008C3D9C"/>
    <w:rsid w:val="008C4FC0"/>
    <w:rsid w:val="008C69F7"/>
    <w:rsid w:val="008C6C73"/>
    <w:rsid w:val="008D17AF"/>
    <w:rsid w:val="008D4C93"/>
    <w:rsid w:val="008D6D23"/>
    <w:rsid w:val="008E228A"/>
    <w:rsid w:val="008E3C18"/>
    <w:rsid w:val="008E425D"/>
    <w:rsid w:val="008E4F87"/>
    <w:rsid w:val="008E6760"/>
    <w:rsid w:val="008F1B97"/>
    <w:rsid w:val="008F3EE4"/>
    <w:rsid w:val="008F56F1"/>
    <w:rsid w:val="008F726A"/>
    <w:rsid w:val="0090073F"/>
    <w:rsid w:val="0090404B"/>
    <w:rsid w:val="00904807"/>
    <w:rsid w:val="0090690F"/>
    <w:rsid w:val="00906932"/>
    <w:rsid w:val="00910B6C"/>
    <w:rsid w:val="009130B9"/>
    <w:rsid w:val="009171CB"/>
    <w:rsid w:val="00917FB4"/>
    <w:rsid w:val="009212D9"/>
    <w:rsid w:val="00921880"/>
    <w:rsid w:val="0092406A"/>
    <w:rsid w:val="00924E3B"/>
    <w:rsid w:val="009273D1"/>
    <w:rsid w:val="00931BB1"/>
    <w:rsid w:val="00931E83"/>
    <w:rsid w:val="00934B2E"/>
    <w:rsid w:val="00935E90"/>
    <w:rsid w:val="009376B6"/>
    <w:rsid w:val="00942B51"/>
    <w:rsid w:val="00951C7B"/>
    <w:rsid w:val="00952FDA"/>
    <w:rsid w:val="0095511E"/>
    <w:rsid w:val="00955693"/>
    <w:rsid w:val="00956B51"/>
    <w:rsid w:val="009575B3"/>
    <w:rsid w:val="00960185"/>
    <w:rsid w:val="00960430"/>
    <w:rsid w:val="00961D8C"/>
    <w:rsid w:val="009647CA"/>
    <w:rsid w:val="009653EB"/>
    <w:rsid w:val="0096766D"/>
    <w:rsid w:val="00967754"/>
    <w:rsid w:val="009678C0"/>
    <w:rsid w:val="0097063B"/>
    <w:rsid w:val="00970B36"/>
    <w:rsid w:val="0097210F"/>
    <w:rsid w:val="00972DD5"/>
    <w:rsid w:val="00973744"/>
    <w:rsid w:val="00973B8F"/>
    <w:rsid w:val="0097472F"/>
    <w:rsid w:val="009752B5"/>
    <w:rsid w:val="00975E3E"/>
    <w:rsid w:val="009761A1"/>
    <w:rsid w:val="00985020"/>
    <w:rsid w:val="009859BF"/>
    <w:rsid w:val="00986B92"/>
    <w:rsid w:val="00990CD0"/>
    <w:rsid w:val="00992C45"/>
    <w:rsid w:val="00995C22"/>
    <w:rsid w:val="00996283"/>
    <w:rsid w:val="009A02A5"/>
    <w:rsid w:val="009A08F6"/>
    <w:rsid w:val="009A3092"/>
    <w:rsid w:val="009A4D6E"/>
    <w:rsid w:val="009A788D"/>
    <w:rsid w:val="009B0366"/>
    <w:rsid w:val="009B08AD"/>
    <w:rsid w:val="009B0A5D"/>
    <w:rsid w:val="009B11F1"/>
    <w:rsid w:val="009B2B5C"/>
    <w:rsid w:val="009B347D"/>
    <w:rsid w:val="009B48D0"/>
    <w:rsid w:val="009B52A6"/>
    <w:rsid w:val="009B5C84"/>
    <w:rsid w:val="009B6512"/>
    <w:rsid w:val="009B6A1E"/>
    <w:rsid w:val="009B7151"/>
    <w:rsid w:val="009B7357"/>
    <w:rsid w:val="009C7044"/>
    <w:rsid w:val="009D0F4D"/>
    <w:rsid w:val="009D4FB8"/>
    <w:rsid w:val="009E2E04"/>
    <w:rsid w:val="009E3486"/>
    <w:rsid w:val="009E5C1B"/>
    <w:rsid w:val="009E6743"/>
    <w:rsid w:val="009F1F01"/>
    <w:rsid w:val="009F50E8"/>
    <w:rsid w:val="009F7246"/>
    <w:rsid w:val="009F7D1D"/>
    <w:rsid w:val="00A0047B"/>
    <w:rsid w:val="00A053DB"/>
    <w:rsid w:val="00A06331"/>
    <w:rsid w:val="00A06DA1"/>
    <w:rsid w:val="00A07710"/>
    <w:rsid w:val="00A14F6A"/>
    <w:rsid w:val="00A15929"/>
    <w:rsid w:val="00A21DC0"/>
    <w:rsid w:val="00A25334"/>
    <w:rsid w:val="00A26654"/>
    <w:rsid w:val="00A2789D"/>
    <w:rsid w:val="00A3259E"/>
    <w:rsid w:val="00A33997"/>
    <w:rsid w:val="00A33A99"/>
    <w:rsid w:val="00A35FBC"/>
    <w:rsid w:val="00A406BA"/>
    <w:rsid w:val="00A40ADA"/>
    <w:rsid w:val="00A4315D"/>
    <w:rsid w:val="00A43779"/>
    <w:rsid w:val="00A46651"/>
    <w:rsid w:val="00A467EF"/>
    <w:rsid w:val="00A5140D"/>
    <w:rsid w:val="00A51803"/>
    <w:rsid w:val="00A52B9A"/>
    <w:rsid w:val="00A53050"/>
    <w:rsid w:val="00A53E9B"/>
    <w:rsid w:val="00A5446E"/>
    <w:rsid w:val="00A54674"/>
    <w:rsid w:val="00A5507A"/>
    <w:rsid w:val="00A57FB4"/>
    <w:rsid w:val="00A6000E"/>
    <w:rsid w:val="00A60286"/>
    <w:rsid w:val="00A6152F"/>
    <w:rsid w:val="00A66720"/>
    <w:rsid w:val="00A66C66"/>
    <w:rsid w:val="00A673AF"/>
    <w:rsid w:val="00A71F09"/>
    <w:rsid w:val="00A7286D"/>
    <w:rsid w:val="00A73DEC"/>
    <w:rsid w:val="00A7527D"/>
    <w:rsid w:val="00A775CF"/>
    <w:rsid w:val="00A7763C"/>
    <w:rsid w:val="00A8359B"/>
    <w:rsid w:val="00A86EE1"/>
    <w:rsid w:val="00A879C1"/>
    <w:rsid w:val="00AA1890"/>
    <w:rsid w:val="00AA3165"/>
    <w:rsid w:val="00AA64AC"/>
    <w:rsid w:val="00AA742A"/>
    <w:rsid w:val="00AB30DA"/>
    <w:rsid w:val="00AB364D"/>
    <w:rsid w:val="00AC2F68"/>
    <w:rsid w:val="00AD11BE"/>
    <w:rsid w:val="00AD2316"/>
    <w:rsid w:val="00AD33A9"/>
    <w:rsid w:val="00AD5147"/>
    <w:rsid w:val="00AD5BE2"/>
    <w:rsid w:val="00AD5BF8"/>
    <w:rsid w:val="00AD6F47"/>
    <w:rsid w:val="00AD7B3A"/>
    <w:rsid w:val="00AE0D5F"/>
    <w:rsid w:val="00AE1206"/>
    <w:rsid w:val="00AE3666"/>
    <w:rsid w:val="00AE3D18"/>
    <w:rsid w:val="00AF0C8A"/>
    <w:rsid w:val="00AF137F"/>
    <w:rsid w:val="00AF19FD"/>
    <w:rsid w:val="00AF61C2"/>
    <w:rsid w:val="00AF7A99"/>
    <w:rsid w:val="00AF7CC4"/>
    <w:rsid w:val="00B00771"/>
    <w:rsid w:val="00B022B0"/>
    <w:rsid w:val="00B073F9"/>
    <w:rsid w:val="00B07568"/>
    <w:rsid w:val="00B07701"/>
    <w:rsid w:val="00B106E8"/>
    <w:rsid w:val="00B155CC"/>
    <w:rsid w:val="00B22E2E"/>
    <w:rsid w:val="00B23E9E"/>
    <w:rsid w:val="00B26543"/>
    <w:rsid w:val="00B30855"/>
    <w:rsid w:val="00B34377"/>
    <w:rsid w:val="00B345A3"/>
    <w:rsid w:val="00B36B84"/>
    <w:rsid w:val="00B40A0E"/>
    <w:rsid w:val="00B40FBE"/>
    <w:rsid w:val="00B4308C"/>
    <w:rsid w:val="00B471AD"/>
    <w:rsid w:val="00B518D8"/>
    <w:rsid w:val="00B54097"/>
    <w:rsid w:val="00B54900"/>
    <w:rsid w:val="00B61A77"/>
    <w:rsid w:val="00B65125"/>
    <w:rsid w:val="00B663EB"/>
    <w:rsid w:val="00B67A2C"/>
    <w:rsid w:val="00B703F7"/>
    <w:rsid w:val="00B7156C"/>
    <w:rsid w:val="00B72322"/>
    <w:rsid w:val="00B7290E"/>
    <w:rsid w:val="00B73549"/>
    <w:rsid w:val="00B736DB"/>
    <w:rsid w:val="00B749B9"/>
    <w:rsid w:val="00B74A73"/>
    <w:rsid w:val="00B76AA4"/>
    <w:rsid w:val="00B778E0"/>
    <w:rsid w:val="00B82157"/>
    <w:rsid w:val="00B83198"/>
    <w:rsid w:val="00B8376C"/>
    <w:rsid w:val="00B869C9"/>
    <w:rsid w:val="00B9138C"/>
    <w:rsid w:val="00BA257B"/>
    <w:rsid w:val="00BA6D9D"/>
    <w:rsid w:val="00BA72D7"/>
    <w:rsid w:val="00BC1231"/>
    <w:rsid w:val="00BC2CA8"/>
    <w:rsid w:val="00BC425B"/>
    <w:rsid w:val="00BC4788"/>
    <w:rsid w:val="00BC6AC0"/>
    <w:rsid w:val="00BC6CAA"/>
    <w:rsid w:val="00BC7474"/>
    <w:rsid w:val="00BD0B9F"/>
    <w:rsid w:val="00BD2482"/>
    <w:rsid w:val="00BD40F9"/>
    <w:rsid w:val="00BE3097"/>
    <w:rsid w:val="00BE5589"/>
    <w:rsid w:val="00BE5877"/>
    <w:rsid w:val="00BE5AD0"/>
    <w:rsid w:val="00BF09AE"/>
    <w:rsid w:val="00BF34FC"/>
    <w:rsid w:val="00BF39F9"/>
    <w:rsid w:val="00BF3ECA"/>
    <w:rsid w:val="00BF688C"/>
    <w:rsid w:val="00BF72ED"/>
    <w:rsid w:val="00BF7555"/>
    <w:rsid w:val="00BF7A3F"/>
    <w:rsid w:val="00C00387"/>
    <w:rsid w:val="00C01EFF"/>
    <w:rsid w:val="00C024AB"/>
    <w:rsid w:val="00C02FC6"/>
    <w:rsid w:val="00C03B35"/>
    <w:rsid w:val="00C041F2"/>
    <w:rsid w:val="00C05456"/>
    <w:rsid w:val="00C05F91"/>
    <w:rsid w:val="00C11889"/>
    <w:rsid w:val="00C12ABB"/>
    <w:rsid w:val="00C13908"/>
    <w:rsid w:val="00C13B54"/>
    <w:rsid w:val="00C15485"/>
    <w:rsid w:val="00C173DD"/>
    <w:rsid w:val="00C17A5C"/>
    <w:rsid w:val="00C20262"/>
    <w:rsid w:val="00C2172B"/>
    <w:rsid w:val="00C25B6D"/>
    <w:rsid w:val="00C2627D"/>
    <w:rsid w:val="00C26812"/>
    <w:rsid w:val="00C2770E"/>
    <w:rsid w:val="00C27FE8"/>
    <w:rsid w:val="00C32C4F"/>
    <w:rsid w:val="00C35BB2"/>
    <w:rsid w:val="00C378E0"/>
    <w:rsid w:val="00C42941"/>
    <w:rsid w:val="00C42BCD"/>
    <w:rsid w:val="00C434EE"/>
    <w:rsid w:val="00C4614C"/>
    <w:rsid w:val="00C46947"/>
    <w:rsid w:val="00C511C3"/>
    <w:rsid w:val="00C517B2"/>
    <w:rsid w:val="00C51F7E"/>
    <w:rsid w:val="00C5267B"/>
    <w:rsid w:val="00C5755C"/>
    <w:rsid w:val="00C57E8F"/>
    <w:rsid w:val="00C60027"/>
    <w:rsid w:val="00C60577"/>
    <w:rsid w:val="00C615A3"/>
    <w:rsid w:val="00C6243F"/>
    <w:rsid w:val="00C63640"/>
    <w:rsid w:val="00C63738"/>
    <w:rsid w:val="00C6597C"/>
    <w:rsid w:val="00C66AB9"/>
    <w:rsid w:val="00C71A41"/>
    <w:rsid w:val="00C74D98"/>
    <w:rsid w:val="00C75249"/>
    <w:rsid w:val="00C7550D"/>
    <w:rsid w:val="00C75F15"/>
    <w:rsid w:val="00C764BE"/>
    <w:rsid w:val="00C80FB1"/>
    <w:rsid w:val="00C8134F"/>
    <w:rsid w:val="00C84367"/>
    <w:rsid w:val="00C8661F"/>
    <w:rsid w:val="00C86E8F"/>
    <w:rsid w:val="00C87AA6"/>
    <w:rsid w:val="00C911E6"/>
    <w:rsid w:val="00C92F62"/>
    <w:rsid w:val="00C93943"/>
    <w:rsid w:val="00C93E16"/>
    <w:rsid w:val="00C93ED4"/>
    <w:rsid w:val="00C95548"/>
    <w:rsid w:val="00C95570"/>
    <w:rsid w:val="00C95B9D"/>
    <w:rsid w:val="00C96911"/>
    <w:rsid w:val="00CA02DA"/>
    <w:rsid w:val="00CA19A6"/>
    <w:rsid w:val="00CA2BAF"/>
    <w:rsid w:val="00CA35BE"/>
    <w:rsid w:val="00CA4DC5"/>
    <w:rsid w:val="00CB409F"/>
    <w:rsid w:val="00CB783F"/>
    <w:rsid w:val="00CB7F56"/>
    <w:rsid w:val="00CC10B2"/>
    <w:rsid w:val="00CC27D2"/>
    <w:rsid w:val="00CC291D"/>
    <w:rsid w:val="00CC2A00"/>
    <w:rsid w:val="00CC38B9"/>
    <w:rsid w:val="00CC4037"/>
    <w:rsid w:val="00CC5522"/>
    <w:rsid w:val="00CC65C4"/>
    <w:rsid w:val="00CC6F0B"/>
    <w:rsid w:val="00CC7EFB"/>
    <w:rsid w:val="00CD0187"/>
    <w:rsid w:val="00CE24CC"/>
    <w:rsid w:val="00CE3B51"/>
    <w:rsid w:val="00CE55EC"/>
    <w:rsid w:val="00CF14C1"/>
    <w:rsid w:val="00CF228C"/>
    <w:rsid w:val="00CF4DBB"/>
    <w:rsid w:val="00D017BD"/>
    <w:rsid w:val="00D023DA"/>
    <w:rsid w:val="00D02697"/>
    <w:rsid w:val="00D0444B"/>
    <w:rsid w:val="00D04FC9"/>
    <w:rsid w:val="00D06490"/>
    <w:rsid w:val="00D064CE"/>
    <w:rsid w:val="00D11153"/>
    <w:rsid w:val="00D1272A"/>
    <w:rsid w:val="00D12E8E"/>
    <w:rsid w:val="00D151C0"/>
    <w:rsid w:val="00D216C6"/>
    <w:rsid w:val="00D21A4D"/>
    <w:rsid w:val="00D241C2"/>
    <w:rsid w:val="00D30C77"/>
    <w:rsid w:val="00D32046"/>
    <w:rsid w:val="00D343A0"/>
    <w:rsid w:val="00D34C6B"/>
    <w:rsid w:val="00D34E8E"/>
    <w:rsid w:val="00D354FF"/>
    <w:rsid w:val="00D35A22"/>
    <w:rsid w:val="00D35B68"/>
    <w:rsid w:val="00D364D3"/>
    <w:rsid w:val="00D37796"/>
    <w:rsid w:val="00D37E2D"/>
    <w:rsid w:val="00D40D2C"/>
    <w:rsid w:val="00D44ABB"/>
    <w:rsid w:val="00D45E99"/>
    <w:rsid w:val="00D46057"/>
    <w:rsid w:val="00D5163C"/>
    <w:rsid w:val="00D532D8"/>
    <w:rsid w:val="00D5399A"/>
    <w:rsid w:val="00D565E8"/>
    <w:rsid w:val="00D570CB"/>
    <w:rsid w:val="00D609A0"/>
    <w:rsid w:val="00D60F47"/>
    <w:rsid w:val="00D6397F"/>
    <w:rsid w:val="00D64C13"/>
    <w:rsid w:val="00D6503E"/>
    <w:rsid w:val="00D66FB6"/>
    <w:rsid w:val="00D7031D"/>
    <w:rsid w:val="00D70E50"/>
    <w:rsid w:val="00D71B39"/>
    <w:rsid w:val="00D75ED1"/>
    <w:rsid w:val="00D82F11"/>
    <w:rsid w:val="00D84E60"/>
    <w:rsid w:val="00D85F7B"/>
    <w:rsid w:val="00D85F7F"/>
    <w:rsid w:val="00D90EFC"/>
    <w:rsid w:val="00D9144C"/>
    <w:rsid w:val="00D91BA3"/>
    <w:rsid w:val="00D921B3"/>
    <w:rsid w:val="00D94E5A"/>
    <w:rsid w:val="00D972A6"/>
    <w:rsid w:val="00DA02E9"/>
    <w:rsid w:val="00DA3235"/>
    <w:rsid w:val="00DA661E"/>
    <w:rsid w:val="00DB1522"/>
    <w:rsid w:val="00DB1586"/>
    <w:rsid w:val="00DB270F"/>
    <w:rsid w:val="00DB58A7"/>
    <w:rsid w:val="00DB5BBA"/>
    <w:rsid w:val="00DB6A2A"/>
    <w:rsid w:val="00DB6F92"/>
    <w:rsid w:val="00DB77F9"/>
    <w:rsid w:val="00DC0BB1"/>
    <w:rsid w:val="00DC15D0"/>
    <w:rsid w:val="00DC19F6"/>
    <w:rsid w:val="00DC3266"/>
    <w:rsid w:val="00DC4ABD"/>
    <w:rsid w:val="00DC4AE4"/>
    <w:rsid w:val="00DC5C43"/>
    <w:rsid w:val="00DD2967"/>
    <w:rsid w:val="00DD492B"/>
    <w:rsid w:val="00DD5688"/>
    <w:rsid w:val="00DE22FA"/>
    <w:rsid w:val="00DE5B4A"/>
    <w:rsid w:val="00DF025C"/>
    <w:rsid w:val="00DF0F90"/>
    <w:rsid w:val="00DF16A6"/>
    <w:rsid w:val="00DF4CBE"/>
    <w:rsid w:val="00DF6A36"/>
    <w:rsid w:val="00DF6EE0"/>
    <w:rsid w:val="00E01423"/>
    <w:rsid w:val="00E0254A"/>
    <w:rsid w:val="00E03E19"/>
    <w:rsid w:val="00E109B9"/>
    <w:rsid w:val="00E11CA8"/>
    <w:rsid w:val="00E15FAE"/>
    <w:rsid w:val="00E16588"/>
    <w:rsid w:val="00E1671E"/>
    <w:rsid w:val="00E21091"/>
    <w:rsid w:val="00E23431"/>
    <w:rsid w:val="00E23AEF"/>
    <w:rsid w:val="00E24CC0"/>
    <w:rsid w:val="00E30EBE"/>
    <w:rsid w:val="00E30EEA"/>
    <w:rsid w:val="00E31D2B"/>
    <w:rsid w:val="00E31F49"/>
    <w:rsid w:val="00E33217"/>
    <w:rsid w:val="00E370CC"/>
    <w:rsid w:val="00E4373E"/>
    <w:rsid w:val="00E44F0D"/>
    <w:rsid w:val="00E504DF"/>
    <w:rsid w:val="00E506F7"/>
    <w:rsid w:val="00E5148C"/>
    <w:rsid w:val="00E533C4"/>
    <w:rsid w:val="00E53849"/>
    <w:rsid w:val="00E549BF"/>
    <w:rsid w:val="00E54C7F"/>
    <w:rsid w:val="00E55201"/>
    <w:rsid w:val="00E605AD"/>
    <w:rsid w:val="00E60EC1"/>
    <w:rsid w:val="00E6164B"/>
    <w:rsid w:val="00E61E35"/>
    <w:rsid w:val="00E620F0"/>
    <w:rsid w:val="00E6342F"/>
    <w:rsid w:val="00E63D06"/>
    <w:rsid w:val="00E63D0C"/>
    <w:rsid w:val="00E6609A"/>
    <w:rsid w:val="00E6617F"/>
    <w:rsid w:val="00E66F2D"/>
    <w:rsid w:val="00E72446"/>
    <w:rsid w:val="00E72A6D"/>
    <w:rsid w:val="00E7570C"/>
    <w:rsid w:val="00E805D0"/>
    <w:rsid w:val="00E83179"/>
    <w:rsid w:val="00E84BE5"/>
    <w:rsid w:val="00E863BC"/>
    <w:rsid w:val="00E87949"/>
    <w:rsid w:val="00E87D01"/>
    <w:rsid w:val="00E902D8"/>
    <w:rsid w:val="00E91345"/>
    <w:rsid w:val="00E930E6"/>
    <w:rsid w:val="00E93A94"/>
    <w:rsid w:val="00E942B4"/>
    <w:rsid w:val="00E952C6"/>
    <w:rsid w:val="00E95564"/>
    <w:rsid w:val="00E96397"/>
    <w:rsid w:val="00E96702"/>
    <w:rsid w:val="00EA0DE3"/>
    <w:rsid w:val="00EA19CA"/>
    <w:rsid w:val="00EA2D41"/>
    <w:rsid w:val="00EA4E56"/>
    <w:rsid w:val="00EA52DE"/>
    <w:rsid w:val="00EA59D9"/>
    <w:rsid w:val="00EA72B0"/>
    <w:rsid w:val="00EA7631"/>
    <w:rsid w:val="00EB133E"/>
    <w:rsid w:val="00EB1895"/>
    <w:rsid w:val="00EB1D33"/>
    <w:rsid w:val="00EB27C4"/>
    <w:rsid w:val="00EB2D2F"/>
    <w:rsid w:val="00EB5655"/>
    <w:rsid w:val="00EC11AE"/>
    <w:rsid w:val="00EC2776"/>
    <w:rsid w:val="00EC33BF"/>
    <w:rsid w:val="00EC5222"/>
    <w:rsid w:val="00ED129B"/>
    <w:rsid w:val="00ED23BE"/>
    <w:rsid w:val="00ED276E"/>
    <w:rsid w:val="00ED2E02"/>
    <w:rsid w:val="00ED3D6B"/>
    <w:rsid w:val="00ED5D6B"/>
    <w:rsid w:val="00EE44E1"/>
    <w:rsid w:val="00EE4D1D"/>
    <w:rsid w:val="00EE50E8"/>
    <w:rsid w:val="00EE6E81"/>
    <w:rsid w:val="00EE7156"/>
    <w:rsid w:val="00EE7577"/>
    <w:rsid w:val="00EE7A06"/>
    <w:rsid w:val="00EF0045"/>
    <w:rsid w:val="00EF3DBD"/>
    <w:rsid w:val="00EF5508"/>
    <w:rsid w:val="00F02640"/>
    <w:rsid w:val="00F02ED9"/>
    <w:rsid w:val="00F03672"/>
    <w:rsid w:val="00F0453D"/>
    <w:rsid w:val="00F04D96"/>
    <w:rsid w:val="00F071D0"/>
    <w:rsid w:val="00F101E2"/>
    <w:rsid w:val="00F121A8"/>
    <w:rsid w:val="00F14571"/>
    <w:rsid w:val="00F15CC9"/>
    <w:rsid w:val="00F16BC6"/>
    <w:rsid w:val="00F16C6C"/>
    <w:rsid w:val="00F170BD"/>
    <w:rsid w:val="00F1719C"/>
    <w:rsid w:val="00F17476"/>
    <w:rsid w:val="00F24771"/>
    <w:rsid w:val="00F2781D"/>
    <w:rsid w:val="00F27845"/>
    <w:rsid w:val="00F27CE8"/>
    <w:rsid w:val="00F30F45"/>
    <w:rsid w:val="00F33C84"/>
    <w:rsid w:val="00F36831"/>
    <w:rsid w:val="00F406A0"/>
    <w:rsid w:val="00F406DC"/>
    <w:rsid w:val="00F44D4F"/>
    <w:rsid w:val="00F44D94"/>
    <w:rsid w:val="00F44F60"/>
    <w:rsid w:val="00F45905"/>
    <w:rsid w:val="00F50083"/>
    <w:rsid w:val="00F53251"/>
    <w:rsid w:val="00F62E4B"/>
    <w:rsid w:val="00F64E32"/>
    <w:rsid w:val="00F65298"/>
    <w:rsid w:val="00F66590"/>
    <w:rsid w:val="00F7085F"/>
    <w:rsid w:val="00F7163D"/>
    <w:rsid w:val="00F73FE1"/>
    <w:rsid w:val="00F753C9"/>
    <w:rsid w:val="00F76B43"/>
    <w:rsid w:val="00F76E62"/>
    <w:rsid w:val="00F77169"/>
    <w:rsid w:val="00F81750"/>
    <w:rsid w:val="00F868AF"/>
    <w:rsid w:val="00F90C66"/>
    <w:rsid w:val="00F91E06"/>
    <w:rsid w:val="00F935BE"/>
    <w:rsid w:val="00F93BD5"/>
    <w:rsid w:val="00F96E2A"/>
    <w:rsid w:val="00F97FCA"/>
    <w:rsid w:val="00FA342C"/>
    <w:rsid w:val="00FA3443"/>
    <w:rsid w:val="00FA573F"/>
    <w:rsid w:val="00FA713D"/>
    <w:rsid w:val="00FA7542"/>
    <w:rsid w:val="00FB1938"/>
    <w:rsid w:val="00FB4195"/>
    <w:rsid w:val="00FB5FB0"/>
    <w:rsid w:val="00FB64FB"/>
    <w:rsid w:val="00FB7F85"/>
    <w:rsid w:val="00FC794C"/>
    <w:rsid w:val="00FD23D7"/>
    <w:rsid w:val="00FD5B9A"/>
    <w:rsid w:val="00FD702E"/>
    <w:rsid w:val="00FD7A0B"/>
    <w:rsid w:val="00FE0DA1"/>
    <w:rsid w:val="00FE6B58"/>
    <w:rsid w:val="00FF0F8A"/>
    <w:rsid w:val="00FF2B2A"/>
    <w:rsid w:val="00FF398C"/>
    <w:rsid w:val="00FF5110"/>
    <w:rsid w:val="00FF5EB7"/>
    <w:rsid w:val="00FF75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chartTrackingRefBased/>
  <w15:docId w15:val="{5B157761-B89F-4EE7-8FFC-EEF006BF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4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E7F5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E7F5E"/>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basedOn w:val="Fuentedeprrafopredeter"/>
    <w:uiPriority w:val="99"/>
    <w:semiHidden/>
    <w:unhideWhenUsed/>
    <w:rsid w:val="004E7F5E"/>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F688C"/>
    <w:pPr>
      <w:ind w:left="720"/>
      <w:contextualSpacing/>
    </w:pPr>
  </w:style>
  <w:style w:type="paragraph" w:styleId="Encabezado">
    <w:name w:val="header"/>
    <w:basedOn w:val="Normal"/>
    <w:link w:val="EncabezadoCar"/>
    <w:uiPriority w:val="99"/>
    <w:unhideWhenUsed/>
    <w:rsid w:val="001E33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33C5"/>
  </w:style>
  <w:style w:type="paragraph" w:styleId="Piedepgina">
    <w:name w:val="footer"/>
    <w:basedOn w:val="Normal"/>
    <w:link w:val="PiedepginaCar"/>
    <w:uiPriority w:val="99"/>
    <w:unhideWhenUsed/>
    <w:rsid w:val="001E33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33C5"/>
  </w:style>
  <w:style w:type="paragraph" w:customStyle="1" w:styleId="justificadonormal">
    <w:name w:val="justificadonormal"/>
    <w:basedOn w:val="Normal"/>
    <w:rsid w:val="00395EF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13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161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61AC"/>
    <w:rPr>
      <w:rFonts w:ascii="Segoe UI" w:hAnsi="Segoe UI" w:cs="Segoe UI"/>
      <w:sz w:val="18"/>
      <w:szCs w:val="18"/>
    </w:rPr>
  </w:style>
  <w:style w:type="character" w:customStyle="1" w:styleId="apple-converted-space">
    <w:name w:val="apple-converted-space"/>
    <w:basedOn w:val="Fuentedeprrafopredeter"/>
    <w:rsid w:val="00622D24"/>
  </w:style>
  <w:style w:type="character" w:styleId="Hipervnculo">
    <w:name w:val="Hyperlink"/>
    <w:basedOn w:val="Fuentedeprrafopredeter"/>
    <w:uiPriority w:val="99"/>
    <w:unhideWhenUsed/>
    <w:rsid w:val="00751804"/>
    <w:rPr>
      <w:color w:val="0563C1" w:themeColor="hyperlink"/>
      <w:u w:val="single"/>
    </w:rPr>
  </w:style>
  <w:style w:type="paragraph" w:styleId="Textoindependiente">
    <w:name w:val="Body Text"/>
    <w:basedOn w:val="Normal"/>
    <w:link w:val="TextoindependienteCar"/>
    <w:uiPriority w:val="1"/>
    <w:qFormat/>
    <w:rsid w:val="00F27CE8"/>
    <w:pPr>
      <w:widowControl w:val="0"/>
      <w:spacing w:after="0" w:line="240" w:lineRule="auto"/>
      <w:ind w:left="2267"/>
    </w:pPr>
    <w:rPr>
      <w:rFonts w:ascii="Arial" w:eastAsia="Arial" w:hAnsi="Arial"/>
      <w:sz w:val="24"/>
      <w:szCs w:val="24"/>
      <w:lang w:val="en-US"/>
    </w:rPr>
  </w:style>
  <w:style w:type="character" w:customStyle="1" w:styleId="TextoindependienteCar">
    <w:name w:val="Texto independiente Car"/>
    <w:basedOn w:val="Fuentedeprrafopredeter"/>
    <w:link w:val="Textoindependiente"/>
    <w:uiPriority w:val="1"/>
    <w:rsid w:val="00F27CE8"/>
    <w:rPr>
      <w:rFonts w:ascii="Arial" w:eastAsia="Arial" w:hAnsi="Arial"/>
      <w:sz w:val="24"/>
      <w:szCs w:val="24"/>
      <w:lang w:val="en-US"/>
    </w:rPr>
  </w:style>
  <w:style w:type="paragraph" w:styleId="NormalWeb">
    <w:name w:val="Normal (Web)"/>
    <w:basedOn w:val="Normal"/>
    <w:uiPriority w:val="99"/>
    <w:semiHidden/>
    <w:unhideWhenUsed/>
    <w:rsid w:val="000E6F9C"/>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SinespaciadoCar">
    <w:name w:val="Sin espaciado Car"/>
    <w:aliases w:val="Francesa Car"/>
    <w:link w:val="Sinespaciado"/>
    <w:uiPriority w:val="1"/>
    <w:locked/>
    <w:rsid w:val="00875530"/>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875530"/>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75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873688">
      <w:bodyDiv w:val="1"/>
      <w:marLeft w:val="0"/>
      <w:marRight w:val="0"/>
      <w:marTop w:val="0"/>
      <w:marBottom w:val="0"/>
      <w:divBdr>
        <w:top w:val="none" w:sz="0" w:space="0" w:color="auto"/>
        <w:left w:val="none" w:sz="0" w:space="0" w:color="auto"/>
        <w:bottom w:val="none" w:sz="0" w:space="0" w:color="auto"/>
        <w:right w:val="none" w:sz="0" w:space="0" w:color="auto"/>
      </w:divBdr>
    </w:div>
    <w:div w:id="686374215">
      <w:bodyDiv w:val="1"/>
      <w:marLeft w:val="0"/>
      <w:marRight w:val="0"/>
      <w:marTop w:val="0"/>
      <w:marBottom w:val="0"/>
      <w:divBdr>
        <w:top w:val="none" w:sz="0" w:space="0" w:color="auto"/>
        <w:left w:val="none" w:sz="0" w:space="0" w:color="auto"/>
        <w:bottom w:val="none" w:sz="0" w:space="0" w:color="auto"/>
        <w:right w:val="none" w:sz="0" w:space="0" w:color="auto"/>
      </w:divBdr>
    </w:div>
    <w:div w:id="2021542922">
      <w:bodyDiv w:val="1"/>
      <w:marLeft w:val="0"/>
      <w:marRight w:val="0"/>
      <w:marTop w:val="0"/>
      <w:marBottom w:val="0"/>
      <w:divBdr>
        <w:top w:val="none" w:sz="0" w:space="0" w:color="auto"/>
        <w:left w:val="none" w:sz="0" w:space="0" w:color="auto"/>
        <w:bottom w:val="none" w:sz="0" w:space="0" w:color="auto"/>
        <w:right w:val="none" w:sz="0" w:space="0" w:color="auto"/>
      </w:divBdr>
    </w:div>
    <w:div w:id="2032797725">
      <w:bodyDiv w:val="1"/>
      <w:marLeft w:val="0"/>
      <w:marRight w:val="0"/>
      <w:marTop w:val="0"/>
      <w:marBottom w:val="0"/>
      <w:divBdr>
        <w:top w:val="none" w:sz="0" w:space="0" w:color="auto"/>
        <w:left w:val="none" w:sz="0" w:space="0" w:color="auto"/>
        <w:bottom w:val="none" w:sz="0" w:space="0" w:color="auto"/>
        <w:right w:val="none" w:sz="0" w:space="0" w:color="auto"/>
      </w:divBdr>
    </w:div>
    <w:div w:id="209546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04E03-D702-4EEB-873E-5F2AD82DF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5</Pages>
  <Words>1243</Words>
  <Characters>6838</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César Barranco Crisantos</dc:creator>
  <cp:keywords/>
  <dc:description/>
  <cp:lastModifiedBy>USUARIO</cp:lastModifiedBy>
  <cp:revision>57</cp:revision>
  <cp:lastPrinted>2018-11-20T16:33:00Z</cp:lastPrinted>
  <dcterms:created xsi:type="dcterms:W3CDTF">2018-11-20T02:24:00Z</dcterms:created>
  <dcterms:modified xsi:type="dcterms:W3CDTF">2019-01-10T02:42:00Z</dcterms:modified>
</cp:coreProperties>
</file>